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70C4C4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5A431C">
        <w:rPr>
          <w:rFonts w:cs="Arial"/>
          <w:color w:val="000000"/>
          <w:sz w:val="24"/>
          <w:szCs w:val="24"/>
        </w:rPr>
        <w:t>2347</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7A7619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6BED">
        <w:rPr>
          <w:rFonts w:ascii="Arial" w:hAnsi="Arial"/>
          <w:sz w:val="24"/>
          <w:lang w:val="en-US"/>
        </w:rPr>
        <w:t>8.8.2.1.</w:t>
      </w:r>
      <w:r w:rsidR="002D158D">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0719C2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F6BED">
        <w:rPr>
          <w:rFonts w:ascii="Arial" w:hAnsi="Arial"/>
          <w:sz w:val="24"/>
          <w:lang w:val="en-US"/>
        </w:rPr>
        <w:t>On DL PRS RSTD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5D3995E" w:rsidR="00804DAC" w:rsidRDefault="00556948" w:rsidP="00804DAC">
      <w:pPr>
        <w:rPr>
          <w:lang w:val="en-US"/>
        </w:rPr>
      </w:pPr>
      <w:r>
        <w:rPr>
          <w:lang w:val="en-US"/>
        </w:rPr>
        <w:t>In RAN4#92 meeting, NR positioning was discussed, and few general agreements were made:</w:t>
      </w:r>
    </w:p>
    <w:p w14:paraId="06F55DAC" w14:textId="2946AC5C" w:rsidR="00556948" w:rsidRDefault="00556948" w:rsidP="00804DAC">
      <w:pPr>
        <w:rPr>
          <w:lang w:val="en-US"/>
        </w:rPr>
      </w:pPr>
      <w:r w:rsidRPr="0074147F">
        <w:rPr>
          <w:noProof/>
          <w:lang w:val="en-US" w:eastAsia="zh-CN"/>
        </w:rPr>
        <mc:AlternateContent>
          <mc:Choice Requires="wps">
            <w:drawing>
              <wp:inline distT="0" distB="0" distL="0" distR="0" wp14:anchorId="16DDA9DA" wp14:editId="5B2B5AC9">
                <wp:extent cx="6078220" cy="762000"/>
                <wp:effectExtent l="0" t="0" r="1778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62000"/>
                        </a:xfrm>
                        <a:prstGeom prst="rect">
                          <a:avLst/>
                        </a:prstGeom>
                        <a:solidFill>
                          <a:srgbClr val="FFFFFF"/>
                        </a:solidFill>
                        <a:ln w="9525">
                          <a:solidFill>
                            <a:srgbClr val="000000"/>
                          </a:solidFill>
                          <a:miter lim="800000"/>
                          <a:headEnd/>
                          <a:tailEnd/>
                        </a:ln>
                      </wps:spPr>
                      <wps:txbx>
                        <w:txbxContent>
                          <w:p w14:paraId="60A0E70A" w14:textId="77777777" w:rsidR="00556948" w:rsidRPr="00556948" w:rsidRDefault="00556948" w:rsidP="00556948">
                            <w:pPr>
                              <w:numPr>
                                <w:ilvl w:val="0"/>
                                <w:numId w:val="35"/>
                              </w:numPr>
                              <w:tabs>
                                <w:tab w:val="num" w:pos="720"/>
                              </w:tabs>
                              <w:rPr>
                                <w:rFonts w:eastAsia="Batang"/>
                                <w:b/>
                                <w:lang w:val="en-US" w:eastAsia="zh-CN"/>
                              </w:rPr>
                            </w:pPr>
                            <w:r w:rsidRPr="00556948">
                              <w:rPr>
                                <w:rFonts w:eastAsia="Batang"/>
                                <w:b/>
                                <w:lang w:val="en-US" w:eastAsia="zh-CN"/>
                              </w:rPr>
                              <w:t>Only define RRM requirements for NR positioning in RRC_CONNECTED mode unless new scope of positioning in IDLE/INACTIVE mode is introduced</w:t>
                            </w:r>
                          </w:p>
                          <w:p w14:paraId="17CC5183" w14:textId="77777777" w:rsidR="00556948" w:rsidRPr="00556948" w:rsidRDefault="00556948" w:rsidP="00556948">
                            <w:pPr>
                              <w:numPr>
                                <w:ilvl w:val="0"/>
                                <w:numId w:val="35"/>
                              </w:numPr>
                              <w:tabs>
                                <w:tab w:val="num" w:pos="720"/>
                              </w:tabs>
                              <w:rPr>
                                <w:rFonts w:eastAsia="Batang"/>
                                <w:b/>
                                <w:lang w:val="en-US" w:eastAsia="zh-CN"/>
                              </w:rPr>
                            </w:pPr>
                            <w:r w:rsidRPr="00556948">
                              <w:rPr>
                                <w:rFonts w:eastAsia="Batang"/>
                                <w:b/>
                                <w:lang w:val="en-US" w:eastAsia="zh-CN"/>
                              </w:rPr>
                              <w:t>Only define RSTD measurement requirement based on DL PRS</w:t>
                            </w:r>
                          </w:p>
                          <w:p w14:paraId="2C327F5C" w14:textId="77777777" w:rsidR="00556948" w:rsidRPr="009C5EB9" w:rsidRDefault="00556948" w:rsidP="0055694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16DDA9DA" id="_x0000_t202" coordsize="21600,21600" o:spt="202" path="m,l,21600r21600,l21600,xe">
                <v:stroke joinstyle="miter"/>
                <v:path gradientshapeok="t" o:connecttype="rect"/>
              </v:shapetype>
              <v:shape id="Text Box 1" o:spid="_x0000_s1026" type="#_x0000_t202" style="width:478.6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">
                <v:textbox>
                  <w:txbxContent>
                    <w:p w14:paraId="60A0E70A" w14:textId="77777777" w:rsidR="00556948" w:rsidRPr="00556948" w:rsidRDefault="00556948" w:rsidP="00556948">
                      <w:pPr>
                        <w:numPr>
                          <w:ilvl w:val="0"/>
                          <w:numId w:val="35"/>
                        </w:numPr>
                        <w:tabs>
                          <w:tab w:val="num" w:pos="720"/>
                        </w:tabs>
                        <w:rPr>
                          <w:rFonts w:eastAsia="Batang"/>
                          <w:b/>
                          <w:lang w:val="en-US" w:eastAsia="zh-CN"/>
                        </w:rPr>
                      </w:pPr>
                      <w:r w:rsidRPr="00556948">
                        <w:rPr>
                          <w:rFonts w:eastAsia="Batang"/>
                          <w:b/>
                          <w:lang w:val="en-US" w:eastAsia="zh-CN"/>
                        </w:rPr>
                        <w:t>Only define RRM requirements for NR positioning in RRC_CONNECTED mode unless new scope of positioning in IDLE/INACTIVE mode is introduced</w:t>
                      </w:r>
                    </w:p>
                    <w:p w14:paraId="17CC5183" w14:textId="77777777" w:rsidR="00556948" w:rsidRPr="00556948" w:rsidRDefault="00556948" w:rsidP="00556948">
                      <w:pPr>
                        <w:numPr>
                          <w:ilvl w:val="0"/>
                          <w:numId w:val="35"/>
                        </w:numPr>
                        <w:tabs>
                          <w:tab w:val="num" w:pos="720"/>
                        </w:tabs>
                        <w:rPr>
                          <w:rFonts w:eastAsia="Batang"/>
                          <w:b/>
                          <w:lang w:val="en-US" w:eastAsia="zh-CN"/>
                        </w:rPr>
                      </w:pPr>
                      <w:r w:rsidRPr="00556948">
                        <w:rPr>
                          <w:rFonts w:eastAsia="Batang"/>
                          <w:b/>
                          <w:lang w:val="en-US" w:eastAsia="zh-CN"/>
                        </w:rPr>
                        <w:t>Only define RSTD measurement requirement based on DL PRS</w:t>
                      </w:r>
                    </w:p>
                    <w:p w14:paraId="2C327F5C" w14:textId="77777777" w:rsidR="00556948" w:rsidRPr="009C5EB9" w:rsidRDefault="00556948" w:rsidP="00556948">
                      <w:pPr>
                        <w:rPr>
                          <w:rFonts w:eastAsia="Batang"/>
                          <w:b/>
                          <w:lang w:eastAsia="zh-CN"/>
                        </w:rPr>
                      </w:pPr>
                    </w:p>
                  </w:txbxContent>
                </v:textbox>
                <w10:anchorlock/>
              </v:shape>
            </w:pict>
          </mc:Fallback>
        </mc:AlternateContent>
      </w:r>
    </w:p>
    <w:p w14:paraId="174F0903" w14:textId="53FE27C4" w:rsidR="00556948" w:rsidRPr="00804DAC" w:rsidRDefault="00556948" w:rsidP="00804DAC">
      <w:pPr>
        <w:rPr>
          <w:lang w:val="en-US"/>
        </w:rPr>
      </w:pPr>
      <w:r>
        <w:rPr>
          <w:lang w:val="en-US"/>
        </w:rPr>
        <w:t>Per the work plan agreed in [1], DL PRS-based RSTD measurement is further discussed in this paper.</w:t>
      </w:r>
      <w:r w:rsidR="008837AC">
        <w:rPr>
          <w:lang w:val="en-US"/>
        </w:rPr>
        <w:t xml:space="preserve"> More specifically, PRS configurations for which requirements should be defined, accuracy, report mapping, reporting criteria, and measurement delay</w:t>
      </w:r>
      <w:r w:rsidR="00C477DB">
        <w:rPr>
          <w:lang w:val="en-US"/>
        </w:rPr>
        <w:t>, interruptions and scheduling restrictions</w:t>
      </w:r>
      <w:r w:rsidR="008837AC">
        <w:rPr>
          <w:lang w:val="en-US"/>
        </w:rPr>
        <w:t xml:space="preserve"> are examined. </w:t>
      </w:r>
    </w:p>
    <w:p w14:paraId="530805C1" w14:textId="0BC7105E" w:rsidR="0005179F" w:rsidRDefault="00143185" w:rsidP="00143185">
      <w:pPr>
        <w:pStyle w:val="Heading1"/>
        <w:rPr>
          <w:lang w:val="en-US"/>
        </w:rPr>
      </w:pPr>
      <w:r>
        <w:rPr>
          <w:lang w:val="en-US"/>
        </w:rPr>
        <w:t>DL PRS configuration</w:t>
      </w:r>
    </w:p>
    <w:p w14:paraId="6ECBA5FC" w14:textId="3CD26CE4" w:rsidR="00143185" w:rsidRDefault="00143185" w:rsidP="00143185">
      <w:pPr>
        <w:rPr>
          <w:lang w:val="en-US"/>
        </w:rPr>
      </w:pPr>
      <w:r>
        <w:rPr>
          <w:lang w:val="en-US"/>
        </w:rPr>
        <w:t>In LTE, PRS bandwidth can be from the set of {1.4, 3, 5, 10, 15, 20} MHz with number of PRS subframes per occasion (N</w:t>
      </w:r>
      <w:r w:rsidRPr="00143185">
        <w:rPr>
          <w:vertAlign w:val="subscript"/>
          <w:lang w:val="en-US"/>
        </w:rPr>
        <w:t>PRS</w:t>
      </w:r>
      <w:r>
        <w:rPr>
          <w:lang w:val="en-US"/>
        </w:rPr>
        <w:t>) from the set of {1, 2, 4, 6}</w:t>
      </w:r>
      <w:r w:rsidR="000664AB">
        <w:rPr>
          <w:lang w:val="en-US"/>
        </w:rPr>
        <w:t xml:space="preserve"> </w:t>
      </w:r>
      <w:r>
        <w:rPr>
          <w:lang w:val="en-US"/>
        </w:rPr>
        <w:t>lead</w:t>
      </w:r>
      <w:r w:rsidR="000664AB">
        <w:rPr>
          <w:lang w:val="en-US"/>
        </w:rPr>
        <w:t>ing</w:t>
      </w:r>
      <w:r>
        <w:rPr>
          <w:lang w:val="en-US"/>
        </w:rPr>
        <w:t xml:space="preserve"> to </w:t>
      </w:r>
      <w:r w:rsidR="000664AB">
        <w:rPr>
          <w:lang w:val="en-US"/>
        </w:rPr>
        <w:t>24 permutations. However, RAN4 requirements were only defined for the permutations that resulted in acceptable positioning performance. Table 1 illustrates it by tabulating the NW overhead for PRS transmission for each case assuming normal CP with 2Tx antenna</w:t>
      </w:r>
      <w:r w:rsidR="00D10574">
        <w:rPr>
          <w:lang w:val="en-US"/>
        </w:rPr>
        <w:t xml:space="preserve"> with 160ms periodicity for PRS occasions</w:t>
      </w:r>
      <w:r w:rsidR="000664AB">
        <w:rPr>
          <w:lang w:val="en-US"/>
        </w:rPr>
        <w:t xml:space="preserve">. Permutations in green cells have good performance and reasonable overhead and are the scenarios for which the requirements apply. Permutations in yellow cells have high overhead yet RAN4 requirements still apply. Permutations in red cells have unacceptable performance and no requirements apply to them. </w:t>
      </w:r>
      <w:r w:rsidR="000D637A">
        <w:rPr>
          <w:lang w:val="en-US"/>
        </w:rPr>
        <w:t xml:space="preserve">It is noted that the subset for which the requirements are defined (e.g., clause 9.1.10 of TS 36.133) is commonly used as a guideline for PRS deployments. </w:t>
      </w:r>
    </w:p>
    <w:p w14:paraId="48892932" w14:textId="73F99557" w:rsidR="004805F9" w:rsidRDefault="004805F9" w:rsidP="004805F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LTE PRS overhead (%) vs. performance</w:t>
      </w:r>
    </w:p>
    <w:tbl>
      <w:tblPr>
        <w:tblStyle w:val="TableGrid"/>
        <w:tblW w:w="0" w:type="auto"/>
        <w:jc w:val="center"/>
        <w:tblLook w:val="04A0" w:firstRow="1" w:lastRow="0" w:firstColumn="1" w:lastColumn="0" w:noHBand="0" w:noVBand="1"/>
      </w:tblPr>
      <w:tblGrid>
        <w:gridCol w:w="1007"/>
        <w:gridCol w:w="1007"/>
        <w:gridCol w:w="1007"/>
        <w:gridCol w:w="1007"/>
        <w:gridCol w:w="1007"/>
      </w:tblGrid>
      <w:tr w:rsidR="000664AB" w14:paraId="7C2CEA33" w14:textId="77777777" w:rsidTr="000664AB">
        <w:trPr>
          <w:trHeight w:val="284"/>
          <w:jc w:val="center"/>
        </w:trPr>
        <w:tc>
          <w:tcPr>
            <w:tcW w:w="1007" w:type="dxa"/>
          </w:tcPr>
          <w:p w14:paraId="3F1B088B" w14:textId="1E7ACFD5" w:rsidR="000664AB" w:rsidRPr="000664AB" w:rsidRDefault="00471301" w:rsidP="000664AB">
            <w:pPr>
              <w:jc w:val="center"/>
              <w:rPr>
                <w:b/>
                <w:bCs/>
                <w:lang w:val="en-US"/>
              </w:rPr>
            </w:pPr>
            <w:r>
              <w:rPr>
                <w:b/>
                <w:bCs/>
                <w:lang w:val="en-US"/>
              </w:rPr>
              <w:t>PRS BW</w:t>
            </w:r>
          </w:p>
        </w:tc>
        <w:tc>
          <w:tcPr>
            <w:tcW w:w="1007" w:type="dxa"/>
          </w:tcPr>
          <w:p w14:paraId="0B239A76" w14:textId="45615799"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1</w:t>
            </w:r>
          </w:p>
        </w:tc>
        <w:tc>
          <w:tcPr>
            <w:tcW w:w="1007" w:type="dxa"/>
          </w:tcPr>
          <w:p w14:paraId="6FE94BCC" w14:textId="303EF3C3"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2</w:t>
            </w:r>
          </w:p>
        </w:tc>
        <w:tc>
          <w:tcPr>
            <w:tcW w:w="1007" w:type="dxa"/>
          </w:tcPr>
          <w:p w14:paraId="640DD462" w14:textId="5DF90BFC"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4</w:t>
            </w:r>
          </w:p>
        </w:tc>
        <w:tc>
          <w:tcPr>
            <w:tcW w:w="1007" w:type="dxa"/>
          </w:tcPr>
          <w:p w14:paraId="01999670" w14:textId="39FBAD83"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6</w:t>
            </w:r>
          </w:p>
        </w:tc>
      </w:tr>
      <w:tr w:rsidR="000664AB" w14:paraId="626A1BA4" w14:textId="77777777" w:rsidTr="004805F9">
        <w:trPr>
          <w:trHeight w:val="284"/>
          <w:jc w:val="center"/>
        </w:trPr>
        <w:tc>
          <w:tcPr>
            <w:tcW w:w="1007" w:type="dxa"/>
          </w:tcPr>
          <w:p w14:paraId="6221AA7A" w14:textId="5AED36C5" w:rsidR="000664AB" w:rsidRPr="000664AB" w:rsidRDefault="000664AB" w:rsidP="000664AB">
            <w:pPr>
              <w:jc w:val="center"/>
              <w:rPr>
                <w:b/>
                <w:bCs/>
                <w:lang w:val="en-US"/>
              </w:rPr>
            </w:pPr>
            <w:r w:rsidRPr="000664AB">
              <w:rPr>
                <w:b/>
                <w:bCs/>
                <w:lang w:val="en-US"/>
              </w:rPr>
              <w:t>1.4 MHz</w:t>
            </w:r>
          </w:p>
        </w:tc>
        <w:tc>
          <w:tcPr>
            <w:tcW w:w="1007" w:type="dxa"/>
            <w:shd w:val="clear" w:color="auto" w:fill="FF0000"/>
          </w:tcPr>
          <w:p w14:paraId="4095EAC1" w14:textId="1CFBDD5B" w:rsidR="000664AB" w:rsidRDefault="000664AB" w:rsidP="000664AB">
            <w:pPr>
              <w:jc w:val="center"/>
              <w:rPr>
                <w:lang w:val="en-US"/>
              </w:rPr>
            </w:pPr>
            <w:r>
              <w:rPr>
                <w:lang w:val="en-US"/>
              </w:rPr>
              <w:t>0.0875</w:t>
            </w:r>
          </w:p>
        </w:tc>
        <w:tc>
          <w:tcPr>
            <w:tcW w:w="1007" w:type="dxa"/>
            <w:shd w:val="clear" w:color="auto" w:fill="FF0000"/>
          </w:tcPr>
          <w:p w14:paraId="525BBF2F" w14:textId="02C8E627" w:rsidR="000664AB" w:rsidRDefault="000664AB" w:rsidP="000664AB">
            <w:pPr>
              <w:jc w:val="center"/>
              <w:rPr>
                <w:lang w:val="en-US"/>
              </w:rPr>
            </w:pPr>
            <w:r>
              <w:rPr>
                <w:lang w:val="en-US"/>
              </w:rPr>
              <w:t>0.175</w:t>
            </w:r>
          </w:p>
        </w:tc>
        <w:tc>
          <w:tcPr>
            <w:tcW w:w="1007" w:type="dxa"/>
            <w:shd w:val="clear" w:color="auto" w:fill="FF0000"/>
          </w:tcPr>
          <w:p w14:paraId="24C25C72" w14:textId="1BF818AD" w:rsidR="000664AB" w:rsidRDefault="000664AB" w:rsidP="000664AB">
            <w:pPr>
              <w:jc w:val="center"/>
              <w:rPr>
                <w:lang w:val="en-US"/>
              </w:rPr>
            </w:pPr>
            <w:r>
              <w:rPr>
                <w:lang w:val="en-US"/>
              </w:rPr>
              <w:t>0.350</w:t>
            </w:r>
          </w:p>
        </w:tc>
        <w:tc>
          <w:tcPr>
            <w:tcW w:w="1007" w:type="dxa"/>
            <w:shd w:val="clear" w:color="auto" w:fill="92D050"/>
          </w:tcPr>
          <w:p w14:paraId="4F614A3E" w14:textId="3E9E724E" w:rsidR="000664AB" w:rsidRDefault="000664AB" w:rsidP="000664AB">
            <w:pPr>
              <w:jc w:val="center"/>
              <w:rPr>
                <w:lang w:val="en-US"/>
              </w:rPr>
            </w:pPr>
            <w:r>
              <w:rPr>
                <w:lang w:val="en-US"/>
              </w:rPr>
              <w:t>0.525</w:t>
            </w:r>
          </w:p>
        </w:tc>
      </w:tr>
      <w:tr w:rsidR="000664AB" w14:paraId="62AF6331" w14:textId="77777777" w:rsidTr="004805F9">
        <w:trPr>
          <w:trHeight w:val="284"/>
          <w:jc w:val="center"/>
        </w:trPr>
        <w:tc>
          <w:tcPr>
            <w:tcW w:w="1007" w:type="dxa"/>
          </w:tcPr>
          <w:p w14:paraId="1BB34ABB" w14:textId="512133A1" w:rsidR="000664AB" w:rsidRPr="000664AB" w:rsidRDefault="000664AB" w:rsidP="000664AB">
            <w:pPr>
              <w:jc w:val="center"/>
              <w:rPr>
                <w:b/>
                <w:bCs/>
                <w:lang w:val="en-US"/>
              </w:rPr>
            </w:pPr>
            <w:r w:rsidRPr="000664AB">
              <w:rPr>
                <w:b/>
                <w:bCs/>
                <w:lang w:val="en-US"/>
              </w:rPr>
              <w:t>3.0 MHz</w:t>
            </w:r>
          </w:p>
        </w:tc>
        <w:tc>
          <w:tcPr>
            <w:tcW w:w="1007" w:type="dxa"/>
            <w:shd w:val="clear" w:color="auto" w:fill="FF0000"/>
          </w:tcPr>
          <w:p w14:paraId="4846ADD7" w14:textId="1F65D44E" w:rsidR="000664AB" w:rsidRDefault="000664AB" w:rsidP="000664AB">
            <w:pPr>
              <w:jc w:val="center"/>
              <w:rPr>
                <w:lang w:val="en-US"/>
              </w:rPr>
            </w:pPr>
            <w:r>
              <w:rPr>
                <w:lang w:val="en-US"/>
              </w:rPr>
              <w:t>0.1875</w:t>
            </w:r>
          </w:p>
        </w:tc>
        <w:tc>
          <w:tcPr>
            <w:tcW w:w="1007" w:type="dxa"/>
            <w:shd w:val="clear" w:color="auto" w:fill="FF0000"/>
          </w:tcPr>
          <w:p w14:paraId="5A87FD00" w14:textId="1074CCB7" w:rsidR="000664AB" w:rsidRDefault="000664AB" w:rsidP="000664AB">
            <w:pPr>
              <w:jc w:val="center"/>
              <w:rPr>
                <w:lang w:val="en-US"/>
              </w:rPr>
            </w:pPr>
            <w:r>
              <w:rPr>
                <w:lang w:val="en-US"/>
              </w:rPr>
              <w:t>0.375</w:t>
            </w:r>
          </w:p>
        </w:tc>
        <w:tc>
          <w:tcPr>
            <w:tcW w:w="1007" w:type="dxa"/>
            <w:shd w:val="clear" w:color="auto" w:fill="FF0000"/>
          </w:tcPr>
          <w:p w14:paraId="2E01D86B" w14:textId="550501C9" w:rsidR="000664AB" w:rsidRDefault="000664AB" w:rsidP="000664AB">
            <w:pPr>
              <w:jc w:val="center"/>
              <w:rPr>
                <w:lang w:val="en-US"/>
              </w:rPr>
            </w:pPr>
            <w:r>
              <w:rPr>
                <w:lang w:val="en-US"/>
              </w:rPr>
              <w:t>0.750</w:t>
            </w:r>
          </w:p>
        </w:tc>
        <w:tc>
          <w:tcPr>
            <w:tcW w:w="1007" w:type="dxa"/>
            <w:shd w:val="clear" w:color="auto" w:fill="92D050"/>
          </w:tcPr>
          <w:p w14:paraId="17D85E89" w14:textId="4FE71BFE" w:rsidR="000664AB" w:rsidRDefault="000664AB" w:rsidP="000664AB">
            <w:pPr>
              <w:jc w:val="center"/>
              <w:rPr>
                <w:lang w:val="en-US"/>
              </w:rPr>
            </w:pPr>
            <w:r>
              <w:rPr>
                <w:lang w:val="en-US"/>
              </w:rPr>
              <w:t>1.125</w:t>
            </w:r>
          </w:p>
        </w:tc>
      </w:tr>
      <w:tr w:rsidR="000664AB" w14:paraId="0B198B9F" w14:textId="77777777" w:rsidTr="004805F9">
        <w:trPr>
          <w:trHeight w:val="284"/>
          <w:jc w:val="center"/>
        </w:trPr>
        <w:tc>
          <w:tcPr>
            <w:tcW w:w="1007" w:type="dxa"/>
          </w:tcPr>
          <w:p w14:paraId="7D7D3C31" w14:textId="5DE79A7A" w:rsidR="000664AB" w:rsidRPr="000664AB" w:rsidRDefault="000664AB" w:rsidP="000664AB">
            <w:pPr>
              <w:jc w:val="center"/>
              <w:rPr>
                <w:b/>
                <w:bCs/>
                <w:lang w:val="en-US"/>
              </w:rPr>
            </w:pPr>
            <w:r w:rsidRPr="000664AB">
              <w:rPr>
                <w:b/>
                <w:bCs/>
                <w:lang w:val="en-US"/>
              </w:rPr>
              <w:t>5.0 MHz</w:t>
            </w:r>
          </w:p>
        </w:tc>
        <w:tc>
          <w:tcPr>
            <w:tcW w:w="1007" w:type="dxa"/>
            <w:shd w:val="clear" w:color="auto" w:fill="FF0000"/>
          </w:tcPr>
          <w:p w14:paraId="487B2B7F" w14:textId="6266D730" w:rsidR="000664AB" w:rsidRDefault="000664AB" w:rsidP="000664AB">
            <w:pPr>
              <w:jc w:val="center"/>
              <w:rPr>
                <w:lang w:val="en-US"/>
              </w:rPr>
            </w:pPr>
            <w:r>
              <w:rPr>
                <w:lang w:val="en-US"/>
              </w:rPr>
              <w:t>0.3125</w:t>
            </w:r>
          </w:p>
        </w:tc>
        <w:tc>
          <w:tcPr>
            <w:tcW w:w="1007" w:type="dxa"/>
            <w:shd w:val="clear" w:color="auto" w:fill="92D050"/>
          </w:tcPr>
          <w:p w14:paraId="38407F2E" w14:textId="7C2D44CB" w:rsidR="000664AB" w:rsidRDefault="000664AB" w:rsidP="000664AB">
            <w:pPr>
              <w:jc w:val="center"/>
              <w:rPr>
                <w:lang w:val="en-US"/>
              </w:rPr>
            </w:pPr>
            <w:r>
              <w:rPr>
                <w:lang w:val="en-US"/>
              </w:rPr>
              <w:t>0.625</w:t>
            </w:r>
          </w:p>
        </w:tc>
        <w:tc>
          <w:tcPr>
            <w:tcW w:w="1007" w:type="dxa"/>
            <w:shd w:val="clear" w:color="auto" w:fill="FFFF00"/>
          </w:tcPr>
          <w:p w14:paraId="1D5BCB99" w14:textId="50AC3C19" w:rsidR="000664AB" w:rsidRDefault="000664AB" w:rsidP="000664AB">
            <w:pPr>
              <w:jc w:val="center"/>
              <w:rPr>
                <w:lang w:val="en-US"/>
              </w:rPr>
            </w:pPr>
            <w:r>
              <w:rPr>
                <w:lang w:val="en-US"/>
              </w:rPr>
              <w:t>1.250</w:t>
            </w:r>
          </w:p>
        </w:tc>
        <w:tc>
          <w:tcPr>
            <w:tcW w:w="1007" w:type="dxa"/>
            <w:shd w:val="clear" w:color="auto" w:fill="FFFF00"/>
          </w:tcPr>
          <w:p w14:paraId="659E75C9" w14:textId="45EDB486" w:rsidR="000664AB" w:rsidRDefault="000664AB" w:rsidP="000664AB">
            <w:pPr>
              <w:jc w:val="center"/>
              <w:rPr>
                <w:lang w:val="en-US"/>
              </w:rPr>
            </w:pPr>
            <w:r>
              <w:rPr>
                <w:lang w:val="en-US"/>
              </w:rPr>
              <w:t>1.875</w:t>
            </w:r>
          </w:p>
        </w:tc>
      </w:tr>
      <w:tr w:rsidR="000664AB" w14:paraId="0C6D33BF" w14:textId="77777777" w:rsidTr="004805F9">
        <w:trPr>
          <w:trHeight w:val="284"/>
          <w:jc w:val="center"/>
        </w:trPr>
        <w:tc>
          <w:tcPr>
            <w:tcW w:w="1007" w:type="dxa"/>
          </w:tcPr>
          <w:p w14:paraId="6E0DFFF1" w14:textId="6506726E" w:rsidR="000664AB" w:rsidRPr="000664AB" w:rsidRDefault="000664AB" w:rsidP="000664AB">
            <w:pPr>
              <w:jc w:val="center"/>
              <w:rPr>
                <w:b/>
                <w:bCs/>
                <w:lang w:val="en-US"/>
              </w:rPr>
            </w:pPr>
            <w:r w:rsidRPr="000664AB">
              <w:rPr>
                <w:b/>
                <w:bCs/>
                <w:lang w:val="en-US"/>
              </w:rPr>
              <w:t>10 MHz</w:t>
            </w:r>
          </w:p>
        </w:tc>
        <w:tc>
          <w:tcPr>
            <w:tcW w:w="1007" w:type="dxa"/>
            <w:shd w:val="clear" w:color="auto" w:fill="92D050"/>
          </w:tcPr>
          <w:p w14:paraId="2A20AEB2" w14:textId="7E490426" w:rsidR="000664AB" w:rsidRDefault="000664AB" w:rsidP="000664AB">
            <w:pPr>
              <w:jc w:val="center"/>
              <w:rPr>
                <w:lang w:val="en-US"/>
              </w:rPr>
            </w:pPr>
            <w:r>
              <w:rPr>
                <w:lang w:val="en-US"/>
              </w:rPr>
              <w:t>0.625</w:t>
            </w:r>
          </w:p>
        </w:tc>
        <w:tc>
          <w:tcPr>
            <w:tcW w:w="1007" w:type="dxa"/>
            <w:shd w:val="clear" w:color="auto" w:fill="FFFF00"/>
          </w:tcPr>
          <w:p w14:paraId="42DABD1A" w14:textId="3729F08D" w:rsidR="000664AB" w:rsidRDefault="000664AB" w:rsidP="000664AB">
            <w:pPr>
              <w:jc w:val="center"/>
              <w:rPr>
                <w:lang w:val="en-US"/>
              </w:rPr>
            </w:pPr>
            <w:r>
              <w:rPr>
                <w:lang w:val="en-US"/>
              </w:rPr>
              <w:t>1.25</w:t>
            </w:r>
          </w:p>
        </w:tc>
        <w:tc>
          <w:tcPr>
            <w:tcW w:w="1007" w:type="dxa"/>
            <w:shd w:val="clear" w:color="auto" w:fill="FFFF00"/>
          </w:tcPr>
          <w:p w14:paraId="5C957180" w14:textId="4CB8CAD6" w:rsidR="000664AB" w:rsidRDefault="000664AB" w:rsidP="000664AB">
            <w:pPr>
              <w:jc w:val="center"/>
              <w:rPr>
                <w:lang w:val="en-US"/>
              </w:rPr>
            </w:pPr>
            <w:r>
              <w:rPr>
                <w:lang w:val="en-US"/>
              </w:rPr>
              <w:t>2.500</w:t>
            </w:r>
          </w:p>
        </w:tc>
        <w:tc>
          <w:tcPr>
            <w:tcW w:w="1007" w:type="dxa"/>
            <w:shd w:val="clear" w:color="auto" w:fill="FFFF00"/>
          </w:tcPr>
          <w:p w14:paraId="6C301A48" w14:textId="50AC16B8" w:rsidR="000664AB" w:rsidRDefault="000664AB" w:rsidP="000664AB">
            <w:pPr>
              <w:jc w:val="center"/>
              <w:rPr>
                <w:lang w:val="en-US"/>
              </w:rPr>
            </w:pPr>
            <w:r>
              <w:rPr>
                <w:lang w:val="en-US"/>
              </w:rPr>
              <w:t>3.750</w:t>
            </w:r>
          </w:p>
        </w:tc>
      </w:tr>
    </w:tbl>
    <w:p w14:paraId="379BD175" w14:textId="655791BC" w:rsidR="000664AB" w:rsidRDefault="000664AB" w:rsidP="00143185">
      <w:pPr>
        <w:rPr>
          <w:lang w:val="en-US"/>
        </w:rPr>
      </w:pPr>
    </w:p>
    <w:p w14:paraId="6B7EB60E" w14:textId="5386B584" w:rsidR="00064DC6" w:rsidRDefault="00064DC6" w:rsidP="00143185">
      <w:pPr>
        <w:rPr>
          <w:lang w:val="en-US"/>
        </w:rPr>
      </w:pPr>
      <w:r>
        <w:rPr>
          <w:lang w:val="en-US"/>
        </w:rPr>
        <w:t>PRS in NR has significantly more flexibility compared to PRS in LTE. In addition to configurable BW ranging from 5 MHz to 100 MHz (FR1) and 400 MHz (FR2), number of symbols for DL PRS can now be configurable from at least the set of {2, 4, 6} with other values as FFS. More permutations are also possible considering number of PRS slots per occasion (N</w:t>
      </w:r>
      <w:r w:rsidRPr="00143185">
        <w:rPr>
          <w:vertAlign w:val="subscript"/>
          <w:lang w:val="en-US"/>
        </w:rPr>
        <w:t>PRS</w:t>
      </w:r>
      <w:r>
        <w:rPr>
          <w:lang w:val="en-US"/>
        </w:rPr>
        <w:t>)</w:t>
      </w:r>
      <w:r w:rsidR="00DE1577">
        <w:rPr>
          <w:lang w:val="en-US"/>
        </w:rPr>
        <w:t>, different PRS BW, and even DL PRS power boost</w:t>
      </w:r>
      <w:r>
        <w:rPr>
          <w:lang w:val="en-US"/>
        </w:rPr>
        <w:t xml:space="preserve">. It is imperative that RAN4 follow the same method in LTE and focus on defining requirements for only a subset of PRS configurations </w:t>
      </w:r>
      <w:r w:rsidR="000D637A">
        <w:rPr>
          <w:lang w:val="en-US"/>
        </w:rPr>
        <w:t xml:space="preserve">with minimum possible overhead </w:t>
      </w:r>
      <w:r>
        <w:rPr>
          <w:lang w:val="en-US"/>
        </w:rPr>
        <w:t xml:space="preserve">that show satisfactory performance. System level simulations, similar to those in Study Item or those </w:t>
      </w:r>
      <w:r w:rsidR="000D637A">
        <w:rPr>
          <w:lang w:val="en-US"/>
        </w:rPr>
        <w:t>for</w:t>
      </w:r>
      <w:r>
        <w:rPr>
          <w:lang w:val="en-US"/>
        </w:rPr>
        <w:t xml:space="preserve"> deriv</w:t>
      </w:r>
      <w:r w:rsidR="000D637A">
        <w:rPr>
          <w:lang w:val="en-US"/>
        </w:rPr>
        <w:t>ing</w:t>
      </w:r>
      <w:r>
        <w:rPr>
          <w:lang w:val="en-US"/>
        </w:rPr>
        <w:t xml:space="preserve"> the side conditions per [2], can be used to select these PRS configurations. RAN4 can discuss further what can </w:t>
      </w:r>
      <w:r>
        <w:rPr>
          <w:lang w:val="en-US"/>
        </w:rPr>
        <w:lastRenderedPageBreak/>
        <w:t xml:space="preserve">be considered as satisfactory performance. A reasonable option is to </w:t>
      </w:r>
      <w:r w:rsidR="000D637A">
        <w:rPr>
          <w:lang w:val="en-US"/>
        </w:rPr>
        <w:t xml:space="preserve">be able to </w:t>
      </w:r>
      <w:r>
        <w:rPr>
          <w:lang w:val="en-US"/>
        </w:rPr>
        <w:t>at least meet the regulatory requirements</w:t>
      </w:r>
      <w:r w:rsidR="000D637A">
        <w:rPr>
          <w:lang w:val="en-US"/>
        </w:rPr>
        <w:t>.</w:t>
      </w:r>
    </w:p>
    <w:p w14:paraId="1E906FAE" w14:textId="7E133DD5" w:rsidR="000D637A" w:rsidRPr="009B717B" w:rsidRDefault="004B1975" w:rsidP="00143185">
      <w:pPr>
        <w:rPr>
          <w:b/>
          <w:bCs/>
          <w:lang w:val="en-US"/>
        </w:rPr>
      </w:pPr>
      <w:r w:rsidRPr="009B717B">
        <w:rPr>
          <w:b/>
          <w:bCs/>
          <w:lang w:val="en-US"/>
        </w:rPr>
        <w:t xml:space="preserve">Observation 1. In LTE, RSTD requirements were defined for only a subset of possible PRS configurations based on tradeoff of acceptable performance vs. overhead. DL PRS in NR has even more configuration flexibility compared to PRS in LTE. </w:t>
      </w:r>
    </w:p>
    <w:p w14:paraId="4338219E" w14:textId="23CEF51B" w:rsidR="004B1975" w:rsidRDefault="004B1975" w:rsidP="00143185">
      <w:pPr>
        <w:rPr>
          <w:b/>
          <w:bCs/>
          <w:lang w:val="en-US"/>
        </w:rPr>
      </w:pPr>
      <w:r w:rsidRPr="009B717B">
        <w:rPr>
          <w:b/>
          <w:bCs/>
          <w:lang w:val="en-US"/>
        </w:rPr>
        <w:t>Proposal 1. RAN4 to select a subset of DL PRS configurations for defining the requirements</w:t>
      </w:r>
      <w:r w:rsidR="009B717B" w:rsidRPr="009B717B">
        <w:rPr>
          <w:b/>
          <w:bCs/>
          <w:lang w:val="en-US"/>
        </w:rPr>
        <w:t xml:space="preserve"> </w:t>
      </w:r>
      <w:r w:rsidR="009C3E74" w:rsidRPr="009B717B">
        <w:rPr>
          <w:b/>
          <w:bCs/>
          <w:lang w:val="en-US"/>
        </w:rPr>
        <w:t>like</w:t>
      </w:r>
      <w:r w:rsidR="009B717B" w:rsidRPr="009B717B">
        <w:rPr>
          <w:b/>
          <w:bCs/>
          <w:lang w:val="en-US"/>
        </w:rPr>
        <w:t xml:space="preserve"> LTE</w:t>
      </w:r>
      <w:r w:rsidRPr="009B717B">
        <w:rPr>
          <w:b/>
          <w:bCs/>
          <w:lang w:val="en-US"/>
        </w:rPr>
        <w:t>. The criterion for such selection can further</w:t>
      </w:r>
      <w:r w:rsidR="009B717B" w:rsidRPr="009B717B">
        <w:rPr>
          <w:b/>
          <w:bCs/>
          <w:lang w:val="en-US"/>
        </w:rPr>
        <w:t xml:space="preserve"> be</w:t>
      </w:r>
      <w:r w:rsidRPr="009B717B">
        <w:rPr>
          <w:b/>
          <w:bCs/>
          <w:lang w:val="en-US"/>
        </w:rPr>
        <w:t xml:space="preserve"> discussed but meeting regulatory requirements </w:t>
      </w:r>
      <w:r w:rsidR="009B717B" w:rsidRPr="009B717B">
        <w:rPr>
          <w:b/>
          <w:bCs/>
          <w:lang w:val="en-US"/>
        </w:rPr>
        <w:t xml:space="preserve">is a reasonable option. System simulations can be used to identify the subset. </w:t>
      </w:r>
    </w:p>
    <w:p w14:paraId="559DD15E" w14:textId="03954F2A" w:rsidR="00446C65" w:rsidRDefault="00BE073C" w:rsidP="00446C65">
      <w:pPr>
        <w:pStyle w:val="Heading1"/>
        <w:rPr>
          <w:lang w:val="en-US"/>
        </w:rPr>
      </w:pPr>
      <w:r>
        <w:rPr>
          <w:lang w:val="en-US"/>
        </w:rPr>
        <w:t xml:space="preserve">RSTD measurement accuracy </w:t>
      </w:r>
    </w:p>
    <w:p w14:paraId="24956500" w14:textId="1114E622" w:rsidR="00BE073C" w:rsidRDefault="00BE073C" w:rsidP="00BE073C">
      <w:pPr>
        <w:rPr>
          <w:lang w:val="en-US"/>
        </w:rPr>
      </w:pPr>
      <w:r>
        <w:rPr>
          <w:lang w:val="en-US"/>
        </w:rPr>
        <w:t>OTDOA positioning method relies on UE measurement of several PRS resources within a window length less than time-to-fix (TTF). The number of PRS occasions available for measurement depend on a few factors such as PRS occasion periodicity, signal availability (e.g., due to muting pattern, gNB/UE beam mismatch, fading channel conditions), and the number of resources that UE has to measure. Though it may be possible to have more than one PRS occasion available to each resource, our view is that RSTD measurement accuracy should be defined for the worst-case scenario using samples from only one PRS occasion. Combining measurements across PRS occasions, if available, to improve performance should be left to UE implementation.</w:t>
      </w:r>
    </w:p>
    <w:p w14:paraId="69CD54E1" w14:textId="3AE1DF80" w:rsidR="00BE073C" w:rsidRDefault="001757E1" w:rsidP="00BE073C">
      <w:pPr>
        <w:rPr>
          <w:lang w:val="en-US"/>
        </w:rPr>
      </w:pPr>
      <w:r>
        <w:rPr>
          <w:lang w:val="en-US"/>
        </w:rPr>
        <w:t xml:space="preserve">As in other measurements, the RSTD measurement accuracy requirements shall be applicable only if PRS slots satisfy the minimum side conditions for PRS Es/Iot and </w:t>
      </w:r>
      <w:r w:rsidR="00500AE3">
        <w:rPr>
          <w:lang w:val="en-US"/>
        </w:rPr>
        <w:t>Io conditions</w:t>
      </w:r>
      <w:r>
        <w:rPr>
          <w:lang w:val="en-US"/>
        </w:rPr>
        <w:t xml:space="preserve"> which is to be determined based on the work plan in [2].</w:t>
      </w:r>
    </w:p>
    <w:p w14:paraId="260003F7" w14:textId="782475E4" w:rsidR="001757E1" w:rsidRDefault="001757E1" w:rsidP="00BE073C">
      <w:pPr>
        <w:rPr>
          <w:b/>
          <w:bCs/>
          <w:lang w:val="en-US"/>
        </w:rPr>
      </w:pPr>
      <w:bookmarkStart w:id="0" w:name="_Hlk20405211"/>
      <w:r w:rsidRPr="001757E1">
        <w:rPr>
          <w:b/>
          <w:bCs/>
          <w:lang w:val="en-US"/>
        </w:rPr>
        <w:t>Proposal 2. RSTD measurement accuracy to be defined using samples from only one PRS occasion. Combining measurements across PRS occasions, if available, to improve performance should be left to UE implementation.</w:t>
      </w:r>
    </w:p>
    <w:bookmarkEnd w:id="0"/>
    <w:p w14:paraId="29CB951B" w14:textId="224F1E3E" w:rsidR="005F1C57" w:rsidRDefault="005F1C57" w:rsidP="005F1C57">
      <w:pPr>
        <w:pStyle w:val="Heading1"/>
        <w:rPr>
          <w:lang w:val="en-US"/>
        </w:rPr>
      </w:pPr>
      <w:r>
        <w:rPr>
          <w:lang w:val="en-US"/>
        </w:rPr>
        <w:t>RSTD report mapping</w:t>
      </w:r>
    </w:p>
    <w:p w14:paraId="377BE3E5" w14:textId="1F54FC50" w:rsidR="00EF7D7B" w:rsidRPr="00EF7D7B" w:rsidRDefault="00EF7D7B" w:rsidP="005F1C57">
      <w:pPr>
        <w:rPr>
          <w:sz w:val="18"/>
          <w:szCs w:val="18"/>
          <w:lang w:val="en-US"/>
        </w:rPr>
      </w:pPr>
      <w:r w:rsidRPr="00EF7D7B">
        <w:rPr>
          <w:rStyle w:val="normaltextrun"/>
          <w:color w:val="000000"/>
        </w:rPr>
        <w:t xml:space="preserve">According to the commercial requirements for positioning, NR positioning should be able to support an accuracy of 3m in the horizontal plane, which effectively </w:t>
      </w:r>
      <w:r w:rsidR="00FB5521">
        <w:rPr>
          <w:rStyle w:val="normaltextrun"/>
          <w:color w:val="000000"/>
        </w:rPr>
        <w:t>yields</w:t>
      </w:r>
      <w:r w:rsidRPr="00EF7D7B">
        <w:rPr>
          <w:rStyle w:val="normaltextrun"/>
          <w:color w:val="000000"/>
        </w:rPr>
        <w:t xml:space="preserve"> a TOA accuracy o</w:t>
      </w:r>
      <w:r w:rsidR="00FB5521">
        <w:rPr>
          <w:rStyle w:val="normaltextrun"/>
          <w:color w:val="000000"/>
        </w:rPr>
        <w:t>n</w:t>
      </w:r>
      <w:r w:rsidRPr="00EF7D7B">
        <w:rPr>
          <w:rStyle w:val="normaltextrun"/>
          <w:color w:val="000000"/>
        </w:rPr>
        <w:t xml:space="preserve"> the order of 10 </w:t>
      </w:r>
      <w:r w:rsidRPr="00EF7D7B">
        <w:rPr>
          <w:rStyle w:val="spellingerror"/>
          <w:color w:val="000000"/>
        </w:rPr>
        <w:t>ns</w:t>
      </w:r>
      <w:r w:rsidRPr="00EF7D7B">
        <w:rPr>
          <w:rStyle w:val="normaltextrun"/>
          <w:color w:val="000000"/>
        </w:rPr>
        <w:t>. To ensure that the reporting granularity is not the bottleneck of the NR positioning, the entity performing the timing measurements (either the TRP, or the UE) need</w:t>
      </w:r>
      <w:r w:rsidR="00FB5521">
        <w:rPr>
          <w:rStyle w:val="normaltextrun"/>
          <w:color w:val="000000"/>
        </w:rPr>
        <w:t>s</w:t>
      </w:r>
      <w:r w:rsidRPr="00EF7D7B">
        <w:rPr>
          <w:rStyle w:val="normaltextrun"/>
          <w:color w:val="000000"/>
        </w:rPr>
        <w:t xml:space="preserve"> to be able to report them to the location server at a precision level significantly better than 10 </w:t>
      </w:r>
      <w:r w:rsidRPr="00EF7D7B">
        <w:rPr>
          <w:rStyle w:val="spellingerror"/>
          <w:color w:val="000000"/>
        </w:rPr>
        <w:t>ns</w:t>
      </w:r>
      <w:r w:rsidRPr="00EF7D7B">
        <w:rPr>
          <w:rStyle w:val="normaltextrun"/>
          <w:color w:val="000000"/>
        </w:rPr>
        <w:t>.</w:t>
      </w:r>
    </w:p>
    <w:p w14:paraId="5047EE6A" w14:textId="09B5E766" w:rsidR="005F1C57" w:rsidRDefault="00EF7D7B" w:rsidP="005F1C57">
      <w:pPr>
        <w:rPr>
          <w:lang w:val="en-US"/>
        </w:rPr>
      </w:pPr>
      <w:r>
        <w:rPr>
          <w:lang w:val="en-US"/>
        </w:rPr>
        <w:t>In LTE, the reporting range for RSTD is defined from -15391T</w:t>
      </w:r>
      <w:r w:rsidRPr="00EF7D7B">
        <w:rPr>
          <w:vertAlign w:val="subscript"/>
          <w:lang w:val="en-US"/>
        </w:rPr>
        <w:t>s</w:t>
      </w:r>
      <w:r>
        <w:rPr>
          <w:lang w:val="en-US"/>
        </w:rPr>
        <w:t xml:space="preserve"> to 15391T</w:t>
      </w:r>
      <w:r w:rsidRPr="00EF7D7B">
        <w:rPr>
          <w:vertAlign w:val="subscript"/>
          <w:lang w:val="en-US"/>
        </w:rPr>
        <w:t>s</w:t>
      </w:r>
      <w:r>
        <w:rPr>
          <w:lang w:val="en-US"/>
        </w:rPr>
        <w:t xml:space="preserve"> with 1T</w:t>
      </w:r>
      <w:r w:rsidRPr="00EF7D7B">
        <w:rPr>
          <w:vertAlign w:val="subscript"/>
          <w:lang w:val="en-US"/>
        </w:rPr>
        <w:t>s</w:t>
      </w:r>
      <w:r>
        <w:rPr>
          <w:lang w:val="en-US"/>
        </w:rPr>
        <w:t xml:space="preserve"> resolution for absolute value of RSTD less or equal to 4096T</w:t>
      </w:r>
      <w:r w:rsidRPr="00EF7D7B">
        <w:rPr>
          <w:vertAlign w:val="subscript"/>
          <w:lang w:val="en-US"/>
        </w:rPr>
        <w:t>s</w:t>
      </w:r>
      <w:r>
        <w:rPr>
          <w:lang w:val="en-US"/>
        </w:rPr>
        <w:t>, and 5T</w:t>
      </w:r>
      <w:r w:rsidRPr="00EF7D7B">
        <w:rPr>
          <w:vertAlign w:val="subscript"/>
          <w:lang w:val="en-US"/>
        </w:rPr>
        <w:t>s</w:t>
      </w:r>
      <w:r>
        <w:rPr>
          <w:lang w:val="en-US"/>
        </w:rPr>
        <w:t xml:space="preserve"> for absolute value of RSTD greater than 4096T</w:t>
      </w:r>
      <w:r w:rsidRPr="00EF7D7B">
        <w:rPr>
          <w:vertAlign w:val="subscript"/>
          <w:lang w:val="en-US"/>
        </w:rPr>
        <w:t>s</w:t>
      </w:r>
      <w:r>
        <w:rPr>
          <w:lang w:val="en-US"/>
        </w:rPr>
        <w:t xml:space="preserve"> (clause 9.1.10.3 of TS 36.133). Higher resolution RSTD is also defined with 0.5T</w:t>
      </w:r>
      <w:r w:rsidRPr="00EF7D7B">
        <w:rPr>
          <w:vertAlign w:val="subscript"/>
          <w:lang w:val="en-US"/>
        </w:rPr>
        <w:t>s</w:t>
      </w:r>
      <w:r>
        <w:rPr>
          <w:vertAlign w:val="subscript"/>
          <w:lang w:val="en-US"/>
        </w:rPr>
        <w:t xml:space="preserve">  </w:t>
      </w:r>
      <w:r>
        <w:rPr>
          <w:lang w:val="en-US"/>
        </w:rPr>
        <w:t xml:space="preserve">resolution (clause 9.1.10.4 of TS 36.133). </w:t>
      </w:r>
      <w:r w:rsidR="00FB5521">
        <w:rPr>
          <w:lang w:val="en-US"/>
        </w:rPr>
        <w:t>It is noted that T</w:t>
      </w:r>
      <w:r w:rsidR="00FB5521" w:rsidRPr="00EF7D7B">
        <w:rPr>
          <w:vertAlign w:val="subscript"/>
          <w:lang w:val="en-US"/>
        </w:rPr>
        <w:t>s</w:t>
      </w:r>
      <w:r w:rsidR="00FB5521">
        <w:rPr>
          <w:vertAlign w:val="subscript"/>
          <w:lang w:val="en-US"/>
        </w:rPr>
        <w:t xml:space="preserve"> </w:t>
      </w:r>
      <w:r w:rsidR="00FB5521">
        <w:rPr>
          <w:lang w:val="en-US"/>
        </w:rPr>
        <w:t xml:space="preserve">= 32.5 ns so at best the reporting granularity will be ~16 ns which results in an uncertainty that fails to meet the requirements. </w:t>
      </w:r>
    </w:p>
    <w:p w14:paraId="227AE6EF" w14:textId="794D0649" w:rsidR="00FB5521" w:rsidRPr="00003DE8" w:rsidRDefault="00FB5521" w:rsidP="005F1C57">
      <w:pPr>
        <w:rPr>
          <w:b/>
          <w:bCs/>
          <w:lang w:val="en-US"/>
        </w:rPr>
      </w:pPr>
      <w:r w:rsidRPr="00003DE8">
        <w:rPr>
          <w:b/>
          <w:bCs/>
          <w:lang w:val="en-US"/>
        </w:rPr>
        <w:t>Observation 2. To meet commercial requirements, the reporting granularity of any timing measurement including RSTD must have a step size which is significantly smaller than 10 ns.</w:t>
      </w:r>
    </w:p>
    <w:p w14:paraId="1AF707F2" w14:textId="0B5C343E" w:rsidR="00FB5521" w:rsidRDefault="00FB5521" w:rsidP="005F1C57">
      <w:pPr>
        <w:rPr>
          <w:lang w:val="en-US"/>
        </w:rPr>
      </w:pPr>
      <w:r>
        <w:rPr>
          <w:lang w:val="en-US"/>
        </w:rPr>
        <w:t xml:space="preserve">Hence, </w:t>
      </w:r>
      <w:r w:rsidR="00003DE8">
        <w:rPr>
          <w:lang w:val="en-US"/>
        </w:rPr>
        <w:t>it is proposed to increase the bitwidth of the RSTD report mapping which can also accommodate forward compatibility with future releases. The smaller step size is proposed to be T</w:t>
      </w:r>
      <w:r w:rsidR="00003DE8" w:rsidRPr="00003DE8">
        <w:rPr>
          <w:vertAlign w:val="subscript"/>
          <w:lang w:val="en-US"/>
        </w:rPr>
        <w:t>c</w:t>
      </w:r>
      <w:r w:rsidR="00003DE8">
        <w:rPr>
          <w:lang w:val="en-US"/>
        </w:rPr>
        <w:t xml:space="preserve"> = 0.509 ns and </w:t>
      </w:r>
      <w:r w:rsidR="00FB64E1">
        <w:rPr>
          <w:lang w:val="en-US"/>
        </w:rPr>
        <w:t>UE</w:t>
      </w:r>
      <w:r w:rsidR="00003DE8">
        <w:rPr>
          <w:lang w:val="en-US"/>
        </w:rPr>
        <w:t xml:space="preserve"> report mapping can be configured by higher layers to use a larger step size </w:t>
      </w:r>
      <m:oMath>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sidR="00003DE8">
        <w:rPr>
          <w:lang w:val="en-US"/>
        </w:rPr>
        <w:t xml:space="preserve"> where </w:t>
      </w:r>
      <m:oMath>
        <m:r>
          <w:rPr>
            <w:rFonts w:ascii="Cambria Math" w:hAnsi="Cambria Math"/>
            <w:lang w:val="en-US"/>
          </w:rPr>
          <m:t>μ</m:t>
        </m:r>
      </m:oMath>
      <w:r w:rsidR="00003DE8">
        <w:rPr>
          <w:lang w:val="en-US"/>
        </w:rPr>
        <w:t xml:space="preserve"> = 0,1,2,3,4,5. </w:t>
      </w:r>
    </w:p>
    <w:p w14:paraId="3FDEF461" w14:textId="1C743222" w:rsidR="00003DE8" w:rsidRDefault="00003DE8" w:rsidP="005F1C57">
      <w:pPr>
        <w:rPr>
          <w:b/>
          <w:bCs/>
          <w:lang w:val="en-US"/>
        </w:rPr>
      </w:pPr>
      <w:r w:rsidRPr="00FB64E1">
        <w:rPr>
          <w:b/>
          <w:bCs/>
          <w:lang w:val="en-US"/>
        </w:rPr>
        <w:t>Proposal 3. RSTD report mapping table to be specified with T</w:t>
      </w:r>
      <w:r w:rsidRPr="00FB64E1">
        <w:rPr>
          <w:b/>
          <w:bCs/>
          <w:vertAlign w:val="subscript"/>
          <w:lang w:val="en-US"/>
        </w:rPr>
        <w:t>c</w:t>
      </w:r>
      <w:r w:rsidRPr="00FB64E1">
        <w:rPr>
          <w:b/>
          <w:bCs/>
          <w:lang w:val="en-US"/>
        </w:rPr>
        <w:t xml:space="preserve"> = 0.509 ns as the smallest step size. </w:t>
      </w:r>
      <w:r w:rsidR="00FB64E1" w:rsidRPr="00FB64E1">
        <w:rPr>
          <w:b/>
          <w:bCs/>
          <w:lang w:val="en-US"/>
        </w:rPr>
        <w:t xml:space="preserve">UE report mapping can be configured by higher layers to use a larger step size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b/>
                <w:bCs/>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FB64E1">
        <w:rPr>
          <w:b/>
          <w:bCs/>
          <w:lang w:val="en-US"/>
        </w:rPr>
        <w:t xml:space="preserve"> where </w:t>
      </w:r>
      <m:oMath>
        <m:r>
          <m:rPr>
            <m:sty m:val="bi"/>
          </m:rPr>
          <w:rPr>
            <w:rFonts w:ascii="Cambria Math" w:hAnsi="Cambria Math"/>
            <w:lang w:val="en-US"/>
          </w:rPr>
          <m:t>μ</m:t>
        </m:r>
      </m:oMath>
      <w:r w:rsidRPr="00FB64E1">
        <w:rPr>
          <w:b/>
          <w:bCs/>
          <w:lang w:val="en-US"/>
        </w:rPr>
        <w:t xml:space="preserve"> = 0,1,2,3,4,5.</w:t>
      </w:r>
    </w:p>
    <w:p w14:paraId="1936C691" w14:textId="788390A5" w:rsidR="003214FA" w:rsidRDefault="003214FA" w:rsidP="003214FA">
      <w:pPr>
        <w:pStyle w:val="Heading1"/>
        <w:rPr>
          <w:lang w:val="en-US"/>
        </w:rPr>
      </w:pPr>
      <w:r>
        <w:rPr>
          <w:lang w:val="en-US"/>
        </w:rPr>
        <w:t>RSTD reporting delay</w:t>
      </w:r>
    </w:p>
    <w:p w14:paraId="6A5111DC" w14:textId="1AEC13F4" w:rsidR="003214FA" w:rsidRDefault="00C54D07" w:rsidP="003214FA">
      <w:pPr>
        <w:rPr>
          <w:lang w:val="en-US"/>
        </w:rPr>
      </w:pPr>
      <w:r>
        <w:rPr>
          <w:lang w:val="en-US"/>
        </w:rPr>
        <w:t>As in LTE OTDOA, the following factors impact the RSTD measurement reporting delay:</w:t>
      </w:r>
    </w:p>
    <w:p w14:paraId="6DC62AD0" w14:textId="5F73DC94" w:rsidR="00C54D07" w:rsidRPr="00C54D07" w:rsidRDefault="00C54D07" w:rsidP="00C54D07">
      <w:pPr>
        <w:pStyle w:val="ListParagraph"/>
        <w:numPr>
          <w:ilvl w:val="0"/>
          <w:numId w:val="36"/>
        </w:numPr>
        <w:rPr>
          <w:color w:val="000000" w:themeColor="text1"/>
          <w:sz w:val="20"/>
          <w:szCs w:val="20"/>
        </w:rPr>
      </w:pPr>
      <w:bookmarkStart w:id="1" w:name="_Hlk20666322"/>
      <w:bookmarkStart w:id="2" w:name="_Hlk20409370"/>
      <w:r w:rsidRPr="00C54D07">
        <w:rPr>
          <w:color w:val="000000" w:themeColor="text1"/>
          <w:sz w:val="20"/>
          <w:szCs w:val="20"/>
        </w:rPr>
        <w:t>Periodicity of PRS occasions</w:t>
      </w:r>
    </w:p>
    <w:p w14:paraId="7AE1F001" w14:textId="6A444C46" w:rsidR="00C54D07" w:rsidRP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Number of PRS resources to be measured</w:t>
      </w:r>
    </w:p>
    <w:p w14:paraId="592F01E1" w14:textId="07012210" w:rsidR="00C54D07" w:rsidRP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UE processing power per PRS occasion</w:t>
      </w:r>
    </w:p>
    <w:p w14:paraId="7430D146" w14:textId="77777777" w:rsidR="00C54D07" w:rsidRP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RSTD uncertainty window as indicated by OTDOA assistance data</w:t>
      </w:r>
    </w:p>
    <w:p w14:paraId="6889D84C" w14:textId="6C821AF9" w:rsid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Delay related to a single PRS positioning occasion including sampling and processing time</w:t>
      </w:r>
    </w:p>
    <w:p w14:paraId="5651C5E1" w14:textId="7E672F8A" w:rsidR="00D10574" w:rsidRDefault="00D10574" w:rsidP="00C54D07">
      <w:pPr>
        <w:pStyle w:val="ListParagraph"/>
        <w:numPr>
          <w:ilvl w:val="0"/>
          <w:numId w:val="36"/>
        </w:numPr>
        <w:rPr>
          <w:color w:val="000000" w:themeColor="text1"/>
          <w:sz w:val="20"/>
          <w:szCs w:val="20"/>
        </w:rPr>
      </w:pPr>
      <w:r>
        <w:rPr>
          <w:color w:val="000000" w:themeColor="text1"/>
          <w:sz w:val="20"/>
          <w:szCs w:val="20"/>
        </w:rPr>
        <w:lastRenderedPageBreak/>
        <w:t>Number of frequency layers to be measured</w:t>
      </w:r>
      <w:bookmarkEnd w:id="1"/>
    </w:p>
    <w:bookmarkEnd w:id="2"/>
    <w:p w14:paraId="7E8A3284" w14:textId="6C108986" w:rsidR="00C54D07" w:rsidRDefault="00C54D07" w:rsidP="00C54D07">
      <w:pPr>
        <w:rPr>
          <w:color w:val="000000" w:themeColor="text1"/>
        </w:rPr>
      </w:pPr>
    </w:p>
    <w:p w14:paraId="5178CBB8" w14:textId="2E71A32C" w:rsidR="00C54D07" w:rsidRDefault="00C54D07" w:rsidP="00C54D07">
      <w:pPr>
        <w:rPr>
          <w:color w:val="000000" w:themeColor="text1"/>
        </w:rPr>
      </w:pPr>
      <w:r w:rsidRPr="00D10574">
        <w:rPr>
          <w:b/>
          <w:bCs/>
          <w:i/>
          <w:iCs/>
          <w:color w:val="000000" w:themeColor="text1"/>
        </w:rPr>
        <w:t>Periodicity of PRS occasions:</w:t>
      </w:r>
      <w:r>
        <w:rPr>
          <w:color w:val="000000" w:themeColor="text1"/>
        </w:rPr>
        <w:t xml:space="preserve"> In LTE, measurement reporting delay requirements where defined for shortest PRS periodicity of 160ms </w:t>
      </w:r>
      <w:r w:rsidR="00D10574">
        <w:rPr>
          <w:color w:val="000000" w:themeColor="text1"/>
        </w:rPr>
        <w:t xml:space="preserve">and greater than 160ms (e.g., clause 8.1.2.5 of TS 36.133). </w:t>
      </w:r>
      <w:bookmarkStart w:id="3" w:name="_Hlk21081271"/>
      <w:r w:rsidR="00110C89">
        <w:rPr>
          <w:color w:val="000000" w:themeColor="text1"/>
        </w:rPr>
        <w:t xml:space="preserve">In NR, the PRS occasion periodicity can be {4,8,16,32,64,5,10,20,40,80,160,320,640,1280,2560,5120,10240,20480} slots </w:t>
      </w:r>
      <w:bookmarkEnd w:id="3"/>
      <w:r w:rsidR="00110C89">
        <w:rPr>
          <w:color w:val="000000" w:themeColor="text1"/>
        </w:rPr>
        <w:t>so shorte</w:t>
      </w:r>
      <w:r w:rsidR="00FC7F7D">
        <w:rPr>
          <w:color w:val="000000" w:themeColor="text1"/>
        </w:rPr>
        <w:t>r</w:t>
      </w:r>
      <w:r w:rsidR="00110C89">
        <w:rPr>
          <w:color w:val="000000" w:themeColor="text1"/>
        </w:rPr>
        <w:t xml:space="preserve"> periodicity is possible compared to LTE. However</w:t>
      </w:r>
      <w:r w:rsidR="00D10574">
        <w:rPr>
          <w:color w:val="000000" w:themeColor="text1"/>
        </w:rPr>
        <w:t xml:space="preserve">, in our view, periodicity of 160ms strikes a good balance between performance (in terms of TTF) and impact on NW overhead. </w:t>
      </w:r>
    </w:p>
    <w:p w14:paraId="41BBB475" w14:textId="0FCB6667" w:rsidR="007949BC" w:rsidRDefault="009C18C7" w:rsidP="00C54D07">
      <w:pPr>
        <w:rPr>
          <w:color w:val="000000" w:themeColor="text1"/>
        </w:rPr>
      </w:pPr>
      <w:r w:rsidRPr="009C18C7">
        <w:rPr>
          <w:b/>
          <w:bCs/>
          <w:i/>
          <w:iCs/>
          <w:color w:val="000000" w:themeColor="text1"/>
        </w:rPr>
        <w:t>Number of PRS resources to be measured:</w:t>
      </w:r>
      <w:r>
        <w:rPr>
          <w:color w:val="000000" w:themeColor="text1"/>
        </w:rPr>
        <w:t xml:space="preserve"> In LTE, maximum of 16 cells can be included in OTDOA assistance data. In NR, each TRP can configure a PRS resource set comprising of multiple PRS resources. The maximum number of PRS resources to be measured by UE is yet to be determined in other working groups.</w:t>
      </w:r>
    </w:p>
    <w:p w14:paraId="4A71CAA3" w14:textId="2968CAA4" w:rsidR="009C18C7" w:rsidRDefault="009C18C7" w:rsidP="00C54D07">
      <w:pPr>
        <w:rPr>
          <w:color w:val="000000" w:themeColor="text1"/>
        </w:rPr>
      </w:pPr>
      <w:r w:rsidRPr="009C18C7">
        <w:rPr>
          <w:b/>
          <w:bCs/>
          <w:i/>
          <w:iCs/>
          <w:color w:val="000000" w:themeColor="text1"/>
        </w:rPr>
        <w:t>UE processing power per PRS occasion:</w:t>
      </w:r>
      <w:r>
        <w:rPr>
          <w:color w:val="000000" w:themeColor="text1"/>
        </w:rPr>
        <w:t xml:space="preserve"> This refers to number of PRS resources that can be processed and measured by UE per each PRS occasion. </w:t>
      </w:r>
    </w:p>
    <w:p w14:paraId="3432BF62" w14:textId="750F1879" w:rsidR="009C18C7" w:rsidRDefault="009C18C7" w:rsidP="00C54D07">
      <w:pPr>
        <w:rPr>
          <w:color w:val="000000" w:themeColor="text1"/>
        </w:rPr>
      </w:pPr>
      <w:r w:rsidRPr="009C18C7">
        <w:rPr>
          <w:b/>
          <w:bCs/>
          <w:i/>
          <w:iCs/>
          <w:color w:val="000000" w:themeColor="text1"/>
        </w:rPr>
        <w:t>RSTD uncertainty window:</w:t>
      </w:r>
      <w:r>
        <w:rPr>
          <w:color w:val="000000" w:themeColor="text1"/>
        </w:rPr>
        <w:t xml:space="preserve"> In LTE, a maximum of 5us RSTD uncertainty is assumed in the reporting delay requirements. </w:t>
      </w:r>
      <w:r w:rsidR="00810668">
        <w:rPr>
          <w:color w:val="000000" w:themeColor="text1"/>
        </w:rPr>
        <w:t xml:space="preserve">A large RSTD uncertainty for a PRS resource leads to multiple timing hypotheses for UE to measure which can be equivalent of increasing the number of PRS resources (i.e., one PRS resource with RSTD uncertainty large enough to result in two timing hypothesis is the same as two PRS resources with small RSTD uncertainty). Given different numerologies in NR, the limit on max RSTD uncertainty should be re-examined. For instance, 5us RSTD uncertainty for FR2 is quite large and leads to two symbol timing hypotheses. </w:t>
      </w:r>
    </w:p>
    <w:p w14:paraId="16BDB2DD" w14:textId="383B5654" w:rsidR="00810668" w:rsidRDefault="00206085" w:rsidP="00C54D07">
      <w:pPr>
        <w:rPr>
          <w:color w:val="000000" w:themeColor="text1"/>
        </w:rPr>
      </w:pPr>
      <w:r w:rsidRPr="00206085">
        <w:rPr>
          <w:b/>
          <w:bCs/>
          <w:i/>
          <w:iCs/>
          <w:color w:val="000000" w:themeColor="text1"/>
        </w:rPr>
        <w:t>Delay related to a single PRS positioning occasion</w:t>
      </w:r>
      <w:r>
        <w:rPr>
          <w:b/>
          <w:bCs/>
          <w:i/>
          <w:iCs/>
          <w:color w:val="000000" w:themeColor="text1"/>
        </w:rPr>
        <w:t xml:space="preserve">: </w:t>
      </w:r>
      <w:r>
        <w:rPr>
          <w:color w:val="000000" w:themeColor="text1"/>
        </w:rPr>
        <w:t xml:space="preserve">In LTE, this is an integer multiple of minimum PRS periodicity (160ms) and includes </w:t>
      </w:r>
      <w:r w:rsidR="00440740">
        <w:rPr>
          <w:color w:val="000000" w:themeColor="text1"/>
        </w:rPr>
        <w:t>sampling and processing time. The multiplier factor depends on the number of PRS resources to be measured. In NR, the same principle can be applied.</w:t>
      </w:r>
    </w:p>
    <w:p w14:paraId="576BA703" w14:textId="563EA10A" w:rsidR="00440740" w:rsidRDefault="00440740" w:rsidP="00C54D07">
      <w:pPr>
        <w:rPr>
          <w:color w:val="000000" w:themeColor="text1"/>
        </w:rPr>
      </w:pPr>
      <w:r w:rsidRPr="00440740">
        <w:rPr>
          <w:b/>
          <w:bCs/>
          <w:i/>
          <w:iCs/>
          <w:color w:val="000000" w:themeColor="text1"/>
        </w:rPr>
        <w:t>Number of frequency layers:</w:t>
      </w:r>
      <w:r>
        <w:rPr>
          <w:color w:val="000000" w:themeColor="text1"/>
        </w:rPr>
        <w:t xml:space="preserve"> This refers to whether the list of PRS resources to be measured include one or more frequency layers. Mixing of inter-frequency and intra-frequency RSTD measurements constitutes an increased delay in measurement reporting as in LTE. </w:t>
      </w:r>
    </w:p>
    <w:p w14:paraId="3BB4EAA1" w14:textId="36ECBA4E" w:rsidR="00B5285B" w:rsidRDefault="00B5285B" w:rsidP="00C54D07">
      <w:pPr>
        <w:rPr>
          <w:color w:val="000000" w:themeColor="text1"/>
        </w:rPr>
      </w:pPr>
      <w:r>
        <w:rPr>
          <w:color w:val="000000" w:themeColor="text1"/>
        </w:rPr>
        <w:t xml:space="preserve">Other new aspects in NR may also impact RSTD reporting delay. For instance, an underlying premise in LTE OTDOA is time-alignment of PRS occasions from all cells which leads to reduced interference and improved hear-ability of PRS. In NR, this premise may no longer hold true due to </w:t>
      </w:r>
      <w:r w:rsidR="007949BC">
        <w:rPr>
          <w:color w:val="000000" w:themeColor="text1"/>
        </w:rPr>
        <w:t xml:space="preserve">possibility of PRS beamforming. A TRP can configure some PRS resources with wider beams and some with narrower beams with different periodicities. </w:t>
      </w:r>
      <w:r w:rsidR="00653FAE">
        <w:rPr>
          <w:color w:val="000000" w:themeColor="text1"/>
        </w:rPr>
        <w:t xml:space="preserve">Moreover, larger number of PRS resources from all PRS resource sets and TRPs may render non-time-aligned PRS occasions. </w:t>
      </w:r>
      <w:r w:rsidR="007949BC">
        <w:rPr>
          <w:color w:val="000000" w:themeColor="text1"/>
        </w:rPr>
        <w:t xml:space="preserve">Hence, a staggered formation of PRS occasions can occur compared to time-aligned formation. </w:t>
      </w:r>
      <w:r w:rsidR="00561AB1">
        <w:rPr>
          <w:color w:val="000000" w:themeColor="text1"/>
        </w:rPr>
        <w:t xml:space="preserve">In our view, RAN4 should define UE requirements assuming a limit on the number of PRS resources per a unit of time that UE can process, e.g., X number of resources per 160ms. The value of X can depend on the PRS BW (or FR1 vs. FR2). </w:t>
      </w:r>
    </w:p>
    <w:p w14:paraId="59F6274F" w14:textId="5C2A0F4B" w:rsidR="00653FAE" w:rsidRDefault="00653FAE" w:rsidP="00C54D07">
      <w:pPr>
        <w:rPr>
          <w:color w:val="000000" w:themeColor="text1"/>
        </w:rPr>
      </w:pPr>
      <w:r>
        <w:rPr>
          <w:color w:val="000000" w:themeColor="text1"/>
        </w:rPr>
        <w:t xml:space="preserve">Furthermore, the reference for QCL Type-D in the list PRS resources UE should measure may not be known to UE in FR2. Similar to </w:t>
      </w:r>
      <w:r w:rsidR="006C225B">
        <w:rPr>
          <w:color w:val="000000" w:themeColor="text1"/>
        </w:rPr>
        <w:t xml:space="preserve">existing </w:t>
      </w:r>
      <w:r>
        <w:rPr>
          <w:color w:val="000000" w:themeColor="text1"/>
        </w:rPr>
        <w:t xml:space="preserve">RRM measurement requirements, UE Rx beam sweeping must be considered for measurement delay requirements when in FR2. </w:t>
      </w:r>
    </w:p>
    <w:p w14:paraId="32AC3890" w14:textId="65C5F05F" w:rsidR="00661307" w:rsidRPr="009764E5" w:rsidRDefault="00661307" w:rsidP="00C54D07">
      <w:pPr>
        <w:rPr>
          <w:b/>
          <w:bCs/>
          <w:color w:val="000000" w:themeColor="text1"/>
        </w:rPr>
      </w:pPr>
      <w:r w:rsidRPr="009764E5">
        <w:rPr>
          <w:b/>
          <w:bCs/>
          <w:color w:val="000000" w:themeColor="text1"/>
        </w:rPr>
        <w:t>Observation 3. RSTD measurement reporting delay is impacted by at least the following factors:</w:t>
      </w:r>
    </w:p>
    <w:p w14:paraId="14CBB0FD" w14:textId="77777777"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Periodicity of PRS occasions</w:t>
      </w:r>
    </w:p>
    <w:p w14:paraId="6551A210" w14:textId="2B10ACE6" w:rsidR="00661307" w:rsidRPr="009764E5" w:rsidRDefault="00561AB1" w:rsidP="00661307">
      <w:pPr>
        <w:pStyle w:val="ListParagraph"/>
        <w:numPr>
          <w:ilvl w:val="0"/>
          <w:numId w:val="36"/>
        </w:numPr>
        <w:rPr>
          <w:b/>
          <w:bCs/>
          <w:color w:val="000000" w:themeColor="text1"/>
          <w:sz w:val="20"/>
          <w:szCs w:val="20"/>
        </w:rPr>
      </w:pPr>
      <w:r>
        <w:rPr>
          <w:b/>
          <w:bCs/>
          <w:color w:val="000000" w:themeColor="text1"/>
          <w:sz w:val="20"/>
          <w:szCs w:val="20"/>
        </w:rPr>
        <w:t>Total n</w:t>
      </w:r>
      <w:r w:rsidR="00661307" w:rsidRPr="009764E5">
        <w:rPr>
          <w:b/>
          <w:bCs/>
          <w:color w:val="000000" w:themeColor="text1"/>
          <w:sz w:val="20"/>
          <w:szCs w:val="20"/>
        </w:rPr>
        <w:t>umber of PRS resources to be measured</w:t>
      </w:r>
    </w:p>
    <w:p w14:paraId="07C33CF2" w14:textId="7B54A556"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sidR="00561AB1">
        <w:rPr>
          <w:b/>
          <w:bCs/>
          <w:color w:val="000000" w:themeColor="text1"/>
          <w:sz w:val="20"/>
          <w:szCs w:val="20"/>
        </w:rPr>
        <w:t>a unit of time (e.g, PRS occasion)</w:t>
      </w:r>
    </w:p>
    <w:p w14:paraId="6805D06D" w14:textId="77777777"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RSTD uncertainty window as indicated by OTDOA assistance data</w:t>
      </w:r>
    </w:p>
    <w:p w14:paraId="4219CE7F" w14:textId="77777777"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Delay related to a single PRS positioning occasion including sampling and processing time</w:t>
      </w:r>
    </w:p>
    <w:p w14:paraId="7313C35D" w14:textId="12C1BA9C" w:rsidR="00661307"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Number of frequency layers to be measured</w:t>
      </w:r>
    </w:p>
    <w:p w14:paraId="2D20AE17" w14:textId="2083B248" w:rsidR="00653FAE" w:rsidRPr="009764E5" w:rsidRDefault="00653FAE" w:rsidP="00661307">
      <w:pPr>
        <w:pStyle w:val="ListParagraph"/>
        <w:numPr>
          <w:ilvl w:val="0"/>
          <w:numId w:val="36"/>
        </w:numPr>
        <w:rPr>
          <w:b/>
          <w:bCs/>
          <w:color w:val="000000" w:themeColor="text1"/>
          <w:sz w:val="20"/>
          <w:szCs w:val="20"/>
        </w:rPr>
      </w:pPr>
      <w:r>
        <w:rPr>
          <w:b/>
          <w:bCs/>
          <w:color w:val="000000" w:themeColor="text1"/>
          <w:sz w:val="20"/>
          <w:szCs w:val="20"/>
        </w:rPr>
        <w:t>UE Rx beam sweeping factor in FR2</w:t>
      </w:r>
    </w:p>
    <w:p w14:paraId="583AAFD5" w14:textId="77777777" w:rsidR="00661307" w:rsidRPr="009764E5" w:rsidRDefault="00661307" w:rsidP="00661307">
      <w:pPr>
        <w:rPr>
          <w:b/>
          <w:bCs/>
          <w:color w:val="000000" w:themeColor="text1"/>
        </w:rPr>
      </w:pPr>
    </w:p>
    <w:p w14:paraId="75A34CF1" w14:textId="3DD95D51" w:rsidR="00661307" w:rsidRPr="009764E5" w:rsidRDefault="00661307" w:rsidP="00C54D07">
      <w:pPr>
        <w:rPr>
          <w:b/>
          <w:bCs/>
          <w:color w:val="000000" w:themeColor="text1"/>
        </w:rPr>
      </w:pPr>
      <w:r w:rsidRPr="009764E5">
        <w:rPr>
          <w:b/>
          <w:bCs/>
          <w:color w:val="000000" w:themeColor="text1"/>
        </w:rPr>
        <w:t>Proposal 4. RSTD measurement reporting delay formulation in LTE to be used as a starting point for NR. Moreover</w:t>
      </w:r>
      <w:r w:rsidR="009764E5" w:rsidRPr="009764E5">
        <w:rPr>
          <w:b/>
          <w:bCs/>
          <w:color w:val="000000" w:themeColor="text1"/>
        </w:rPr>
        <w:t>,</w:t>
      </w:r>
    </w:p>
    <w:p w14:paraId="5001D163" w14:textId="77777777" w:rsidR="006C225B"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 xml:space="preserve">Periodicity of PRS occasions: </w:t>
      </w:r>
    </w:p>
    <w:p w14:paraId="15A72965" w14:textId="0306994E" w:rsidR="009764E5" w:rsidRPr="009764E5" w:rsidRDefault="006C225B" w:rsidP="006C225B">
      <w:pPr>
        <w:pStyle w:val="ListParagraph"/>
        <w:numPr>
          <w:ilvl w:val="1"/>
          <w:numId w:val="36"/>
        </w:numPr>
        <w:rPr>
          <w:b/>
          <w:bCs/>
          <w:color w:val="000000" w:themeColor="text1"/>
          <w:sz w:val="20"/>
          <w:szCs w:val="20"/>
        </w:rPr>
      </w:pPr>
      <w:r>
        <w:rPr>
          <w:b/>
          <w:bCs/>
          <w:color w:val="000000" w:themeColor="text1"/>
          <w:sz w:val="20"/>
          <w:szCs w:val="20"/>
        </w:rPr>
        <w:t xml:space="preserve">Proposal 4a. </w:t>
      </w:r>
      <w:r w:rsidR="009764E5" w:rsidRPr="009764E5">
        <w:rPr>
          <w:b/>
          <w:bCs/>
          <w:color w:val="000000" w:themeColor="text1"/>
          <w:sz w:val="20"/>
          <w:szCs w:val="20"/>
        </w:rPr>
        <w:t xml:space="preserve">160 ms as in LTE to be considered as minimum periodicity </w:t>
      </w:r>
    </w:p>
    <w:p w14:paraId="48EBC25C" w14:textId="6FE3FFB5" w:rsidR="009764E5" w:rsidRPr="009764E5"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Number of PRS resources to be measured: pending discussions in RAN1</w:t>
      </w:r>
    </w:p>
    <w:p w14:paraId="7A7DB6F9" w14:textId="690D8FEA" w:rsidR="006C225B"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sidR="006C225B">
        <w:rPr>
          <w:b/>
          <w:bCs/>
          <w:color w:val="000000" w:themeColor="text1"/>
          <w:sz w:val="20"/>
          <w:szCs w:val="20"/>
        </w:rPr>
        <w:t xml:space="preserve">a unit of time (e.g., </w:t>
      </w:r>
      <w:r w:rsidRPr="009764E5">
        <w:rPr>
          <w:b/>
          <w:bCs/>
          <w:color w:val="000000" w:themeColor="text1"/>
          <w:sz w:val="20"/>
          <w:szCs w:val="20"/>
        </w:rPr>
        <w:t>PRS occasion</w:t>
      </w:r>
      <w:r w:rsidR="006C225B">
        <w:rPr>
          <w:b/>
          <w:bCs/>
          <w:color w:val="000000" w:themeColor="text1"/>
          <w:sz w:val="20"/>
          <w:szCs w:val="20"/>
        </w:rPr>
        <w:t>)</w:t>
      </w:r>
      <w:r w:rsidRPr="009764E5">
        <w:rPr>
          <w:b/>
          <w:bCs/>
          <w:color w:val="000000" w:themeColor="text1"/>
          <w:sz w:val="20"/>
          <w:szCs w:val="20"/>
        </w:rPr>
        <w:t xml:space="preserve">: </w:t>
      </w:r>
    </w:p>
    <w:p w14:paraId="178C25E1" w14:textId="24D212EE" w:rsidR="009764E5" w:rsidRPr="009764E5" w:rsidRDefault="006C225B" w:rsidP="006C225B">
      <w:pPr>
        <w:pStyle w:val="ListParagraph"/>
        <w:numPr>
          <w:ilvl w:val="1"/>
          <w:numId w:val="36"/>
        </w:numPr>
        <w:rPr>
          <w:b/>
          <w:bCs/>
          <w:color w:val="000000" w:themeColor="text1"/>
          <w:sz w:val="20"/>
          <w:szCs w:val="20"/>
        </w:rPr>
      </w:pPr>
      <w:r>
        <w:rPr>
          <w:b/>
          <w:bCs/>
          <w:color w:val="000000" w:themeColor="text1"/>
          <w:sz w:val="20"/>
          <w:szCs w:val="20"/>
        </w:rPr>
        <w:t>Proposal 4b. RAN4 to define requirements assuming a UE processing power of X number of PRS resources per 160ms. The value of X can depend on PRS BW (or FR1 vs. FR2)</w:t>
      </w:r>
    </w:p>
    <w:p w14:paraId="19969F2B" w14:textId="77777777" w:rsidR="006C225B"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lastRenderedPageBreak/>
        <w:t xml:space="preserve">RSTD uncertainty window as indicated by OTDOA assistance data: </w:t>
      </w:r>
    </w:p>
    <w:p w14:paraId="7695F623" w14:textId="73D8275A" w:rsidR="009764E5" w:rsidRPr="009764E5" w:rsidRDefault="006C225B" w:rsidP="006C225B">
      <w:pPr>
        <w:pStyle w:val="ListParagraph"/>
        <w:numPr>
          <w:ilvl w:val="1"/>
          <w:numId w:val="36"/>
        </w:numPr>
        <w:rPr>
          <w:b/>
          <w:bCs/>
          <w:color w:val="000000" w:themeColor="text1"/>
          <w:sz w:val="20"/>
          <w:szCs w:val="20"/>
        </w:rPr>
      </w:pPr>
      <w:r>
        <w:rPr>
          <w:b/>
          <w:bCs/>
          <w:color w:val="000000" w:themeColor="text1"/>
          <w:sz w:val="20"/>
          <w:szCs w:val="20"/>
        </w:rPr>
        <w:t xml:space="preserve">Proposal 4c. RAN4 to define RSTD uncertainty </w:t>
      </w:r>
      <w:r w:rsidR="009764E5" w:rsidRPr="009764E5">
        <w:rPr>
          <w:b/>
          <w:bCs/>
          <w:color w:val="000000" w:themeColor="text1"/>
          <w:sz w:val="20"/>
          <w:szCs w:val="20"/>
        </w:rPr>
        <w:t>depend</w:t>
      </w:r>
      <w:r>
        <w:rPr>
          <w:b/>
          <w:bCs/>
          <w:color w:val="000000" w:themeColor="text1"/>
          <w:sz w:val="20"/>
          <w:szCs w:val="20"/>
        </w:rPr>
        <w:t>ing</w:t>
      </w:r>
      <w:r w:rsidR="009764E5" w:rsidRPr="009764E5">
        <w:rPr>
          <w:b/>
          <w:bCs/>
          <w:color w:val="000000" w:themeColor="text1"/>
          <w:sz w:val="20"/>
          <w:szCs w:val="20"/>
        </w:rPr>
        <w:t xml:space="preserve"> on numerology </w:t>
      </w:r>
      <w:r>
        <w:rPr>
          <w:b/>
          <w:bCs/>
          <w:color w:val="000000" w:themeColor="text1"/>
          <w:sz w:val="20"/>
          <w:szCs w:val="20"/>
        </w:rPr>
        <w:t>(</w:t>
      </w:r>
      <w:r w:rsidR="009764E5" w:rsidRPr="009764E5">
        <w:rPr>
          <w:b/>
          <w:bCs/>
          <w:color w:val="000000" w:themeColor="text1"/>
          <w:sz w:val="20"/>
          <w:szCs w:val="20"/>
        </w:rPr>
        <w:t>scal</w:t>
      </w:r>
      <w:r>
        <w:rPr>
          <w:b/>
          <w:bCs/>
          <w:color w:val="000000" w:themeColor="text1"/>
          <w:sz w:val="20"/>
          <w:szCs w:val="20"/>
        </w:rPr>
        <w:t>ing</w:t>
      </w:r>
      <w:r w:rsidR="009764E5" w:rsidRPr="009764E5">
        <w:rPr>
          <w:b/>
          <w:bCs/>
          <w:color w:val="000000" w:themeColor="text1"/>
          <w:sz w:val="20"/>
          <w:szCs w:val="20"/>
        </w:rPr>
        <w:t xml:space="preserve"> down with increasing SCS</w:t>
      </w:r>
      <w:r>
        <w:rPr>
          <w:b/>
          <w:bCs/>
          <w:color w:val="000000" w:themeColor="text1"/>
          <w:sz w:val="20"/>
          <w:szCs w:val="20"/>
        </w:rPr>
        <w:t>)</w:t>
      </w:r>
    </w:p>
    <w:p w14:paraId="72108EE7" w14:textId="3BE2497C" w:rsidR="009764E5" w:rsidRPr="009764E5"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Delay related to a single PRS positioning occasion including sampling and processing time: further discussions in RAN1 and RAN4</w:t>
      </w:r>
    </w:p>
    <w:p w14:paraId="5C2CA51C" w14:textId="2AE6B266" w:rsidR="00661307" w:rsidRDefault="009764E5" w:rsidP="00C54D07">
      <w:pPr>
        <w:pStyle w:val="ListParagraph"/>
        <w:numPr>
          <w:ilvl w:val="0"/>
          <w:numId w:val="36"/>
        </w:numPr>
        <w:rPr>
          <w:b/>
          <w:bCs/>
          <w:color w:val="000000" w:themeColor="text1"/>
          <w:sz w:val="20"/>
          <w:szCs w:val="20"/>
        </w:rPr>
      </w:pPr>
      <w:r w:rsidRPr="009764E5">
        <w:rPr>
          <w:b/>
          <w:bCs/>
          <w:color w:val="000000" w:themeColor="text1"/>
          <w:sz w:val="20"/>
          <w:szCs w:val="20"/>
        </w:rPr>
        <w:t xml:space="preserve">Number of frequency layers to be measured: </w:t>
      </w:r>
      <w:r w:rsidR="006C225B">
        <w:rPr>
          <w:b/>
          <w:bCs/>
          <w:color w:val="000000" w:themeColor="text1"/>
          <w:sz w:val="20"/>
          <w:szCs w:val="20"/>
        </w:rPr>
        <w:t>pending discussions in RAN1 (definition of frequency layer)</w:t>
      </w:r>
    </w:p>
    <w:p w14:paraId="6F56BA75" w14:textId="549A3BA9" w:rsidR="006C225B" w:rsidRDefault="006C225B" w:rsidP="00C54D07">
      <w:pPr>
        <w:pStyle w:val="ListParagraph"/>
        <w:numPr>
          <w:ilvl w:val="0"/>
          <w:numId w:val="36"/>
        </w:numPr>
        <w:rPr>
          <w:b/>
          <w:bCs/>
          <w:color w:val="000000" w:themeColor="text1"/>
          <w:sz w:val="20"/>
          <w:szCs w:val="20"/>
        </w:rPr>
      </w:pPr>
      <w:r>
        <w:rPr>
          <w:b/>
          <w:bCs/>
          <w:color w:val="000000" w:themeColor="text1"/>
          <w:sz w:val="20"/>
          <w:szCs w:val="20"/>
        </w:rPr>
        <w:t>UE Rx beam sweeping factor in FR2</w:t>
      </w:r>
      <w:r w:rsidR="002E63EF">
        <w:rPr>
          <w:b/>
          <w:bCs/>
          <w:color w:val="000000" w:themeColor="text1"/>
          <w:sz w:val="20"/>
          <w:szCs w:val="20"/>
        </w:rPr>
        <w:t xml:space="preserve">: for further discussion in RAN4. </w:t>
      </w:r>
    </w:p>
    <w:p w14:paraId="4CE82F67" w14:textId="20E20E11" w:rsidR="003214FA" w:rsidRDefault="003214FA" w:rsidP="003214FA">
      <w:pPr>
        <w:pStyle w:val="Heading1"/>
        <w:rPr>
          <w:lang w:val="en-US"/>
        </w:rPr>
      </w:pPr>
      <w:r>
        <w:rPr>
          <w:lang w:val="en-US"/>
        </w:rPr>
        <w:t>RSTD reporting criteria</w:t>
      </w:r>
    </w:p>
    <w:p w14:paraId="5F85D45F" w14:textId="14673401" w:rsidR="000F0ED6" w:rsidRDefault="000F0ED6" w:rsidP="003214FA">
      <w:pPr>
        <w:rPr>
          <w:lang w:val="en-US"/>
        </w:rPr>
      </w:pPr>
      <w:r>
        <w:rPr>
          <w:lang w:val="en-US"/>
        </w:rPr>
        <w:t>In LTE, RSTD reporting criteria corresponds to E</w:t>
      </w:r>
      <w:r w:rsidRPr="000F0ED6">
        <w:rPr>
          <w:vertAlign w:val="subscript"/>
          <w:lang w:val="en-US"/>
        </w:rPr>
        <w:t>cat</w:t>
      </w:r>
      <w:r>
        <w:rPr>
          <w:lang w:val="en-US"/>
        </w:rPr>
        <w:t xml:space="preserve"> = 1. More precisely, the following appears in TS 36.133:</w:t>
      </w:r>
    </w:p>
    <w:tbl>
      <w:tblPr>
        <w:tblStyle w:val="TableGrid"/>
        <w:tblW w:w="0" w:type="auto"/>
        <w:jc w:val="center"/>
        <w:tblLook w:val="04A0" w:firstRow="1" w:lastRow="0" w:firstColumn="1" w:lastColumn="0" w:noHBand="0" w:noVBand="1"/>
      </w:tblPr>
      <w:tblGrid>
        <w:gridCol w:w="3187"/>
        <w:gridCol w:w="1578"/>
        <w:gridCol w:w="4797"/>
      </w:tblGrid>
      <w:tr w:rsidR="000F0ED6" w14:paraId="10A13602" w14:textId="77777777" w:rsidTr="000F0ED6">
        <w:trPr>
          <w:jc w:val="center"/>
        </w:trPr>
        <w:tc>
          <w:tcPr>
            <w:tcW w:w="3187" w:type="dxa"/>
          </w:tcPr>
          <w:p w14:paraId="75C0DEA6" w14:textId="5C70E5B9" w:rsidR="000F0ED6" w:rsidRPr="000F0ED6" w:rsidRDefault="000F0ED6" w:rsidP="000F0ED6">
            <w:pPr>
              <w:jc w:val="center"/>
              <w:rPr>
                <w:b/>
                <w:bCs/>
                <w:lang w:val="en-US"/>
              </w:rPr>
            </w:pPr>
            <w:r w:rsidRPr="000F0ED6">
              <w:rPr>
                <w:b/>
                <w:bCs/>
                <w:lang w:val="en-US"/>
              </w:rPr>
              <w:t>Measurement category</w:t>
            </w:r>
          </w:p>
        </w:tc>
        <w:tc>
          <w:tcPr>
            <w:tcW w:w="1578" w:type="dxa"/>
          </w:tcPr>
          <w:p w14:paraId="032A89CF" w14:textId="434DC541" w:rsidR="000F0ED6" w:rsidRPr="000F0ED6" w:rsidRDefault="000F0ED6" w:rsidP="000F0ED6">
            <w:pPr>
              <w:jc w:val="center"/>
              <w:rPr>
                <w:b/>
                <w:bCs/>
                <w:lang w:val="en-US"/>
              </w:rPr>
            </w:pPr>
            <w:r w:rsidRPr="000F0ED6">
              <w:rPr>
                <w:b/>
                <w:bCs/>
                <w:lang w:val="en-US"/>
              </w:rPr>
              <w:t>E</w:t>
            </w:r>
            <w:r w:rsidRPr="000F0ED6">
              <w:rPr>
                <w:b/>
                <w:bCs/>
                <w:vertAlign w:val="subscript"/>
                <w:lang w:val="en-US"/>
              </w:rPr>
              <w:t>cat</w:t>
            </w:r>
          </w:p>
        </w:tc>
        <w:tc>
          <w:tcPr>
            <w:tcW w:w="4797" w:type="dxa"/>
          </w:tcPr>
          <w:p w14:paraId="11F57549" w14:textId="6743E9EB" w:rsidR="000F0ED6" w:rsidRPr="000F0ED6" w:rsidRDefault="000F0ED6" w:rsidP="000F0ED6">
            <w:pPr>
              <w:jc w:val="center"/>
              <w:rPr>
                <w:b/>
                <w:bCs/>
                <w:lang w:val="en-US"/>
              </w:rPr>
            </w:pPr>
            <w:r w:rsidRPr="000F0ED6">
              <w:rPr>
                <w:b/>
                <w:bCs/>
                <w:lang w:val="en-US"/>
              </w:rPr>
              <w:t>Note</w:t>
            </w:r>
          </w:p>
        </w:tc>
      </w:tr>
      <w:tr w:rsidR="000F0ED6" w14:paraId="4266CCBB" w14:textId="77777777" w:rsidTr="000F0ED6">
        <w:trPr>
          <w:jc w:val="center"/>
        </w:trPr>
        <w:tc>
          <w:tcPr>
            <w:tcW w:w="3187" w:type="dxa"/>
          </w:tcPr>
          <w:p w14:paraId="5A5A1626" w14:textId="37AC4912" w:rsidR="000F0ED6" w:rsidRDefault="000F0ED6" w:rsidP="000F0ED6">
            <w:pPr>
              <w:jc w:val="center"/>
              <w:rPr>
                <w:lang w:val="en-US"/>
              </w:rPr>
            </w:pPr>
            <w:r>
              <w:rPr>
                <w:lang w:val="en-US"/>
              </w:rPr>
              <w:t>Intra-frequency RSTD</w:t>
            </w:r>
          </w:p>
        </w:tc>
        <w:tc>
          <w:tcPr>
            <w:tcW w:w="1578" w:type="dxa"/>
          </w:tcPr>
          <w:p w14:paraId="4D109CD4" w14:textId="677C0696" w:rsidR="000F0ED6" w:rsidRDefault="000F0ED6" w:rsidP="000F0ED6">
            <w:pPr>
              <w:jc w:val="center"/>
              <w:rPr>
                <w:lang w:val="en-US"/>
              </w:rPr>
            </w:pPr>
            <w:r>
              <w:rPr>
                <w:lang w:val="en-US"/>
              </w:rPr>
              <w:t>1</w:t>
            </w:r>
          </w:p>
        </w:tc>
        <w:tc>
          <w:tcPr>
            <w:tcW w:w="4797" w:type="dxa"/>
          </w:tcPr>
          <w:p w14:paraId="115D4683" w14:textId="720C61EA" w:rsidR="000F0ED6" w:rsidRPr="000F0ED6" w:rsidRDefault="000F0ED6" w:rsidP="000F0ED6">
            <w:pPr>
              <w:pStyle w:val="Default"/>
              <w:jc w:val="center"/>
              <w:rPr>
                <w:rFonts w:ascii="Times New Roman" w:hAnsi="Times New Roman" w:cs="Times New Roman"/>
                <w:sz w:val="18"/>
                <w:szCs w:val="18"/>
              </w:rPr>
            </w:pPr>
            <w:r w:rsidRPr="000F0ED6">
              <w:rPr>
                <w:rFonts w:ascii="Times New Roman" w:hAnsi="Times New Roman" w:cs="Times New Roman"/>
                <w:sz w:val="20"/>
                <w:szCs w:val="20"/>
              </w:rPr>
              <w:t xml:space="preserve">Intra-frequency RSTD measurement reporting for UE supporting OTDOA; 1 report capable of minimum 16 cell measurements for the intra-frequency </w:t>
            </w:r>
          </w:p>
        </w:tc>
      </w:tr>
      <w:tr w:rsidR="000F0ED6" w14:paraId="24383E9F" w14:textId="77777777" w:rsidTr="000F0ED6">
        <w:trPr>
          <w:jc w:val="center"/>
        </w:trPr>
        <w:tc>
          <w:tcPr>
            <w:tcW w:w="3187" w:type="dxa"/>
          </w:tcPr>
          <w:p w14:paraId="0867ACEC" w14:textId="309344F7" w:rsidR="000F0ED6" w:rsidRDefault="000F0ED6" w:rsidP="000F0ED6">
            <w:pPr>
              <w:jc w:val="center"/>
              <w:rPr>
                <w:lang w:val="en-US"/>
              </w:rPr>
            </w:pPr>
            <w:r>
              <w:rPr>
                <w:lang w:val="en-US"/>
              </w:rPr>
              <w:t>Inter-frequency RSTD</w:t>
            </w:r>
          </w:p>
        </w:tc>
        <w:tc>
          <w:tcPr>
            <w:tcW w:w="1578" w:type="dxa"/>
          </w:tcPr>
          <w:p w14:paraId="0C619275" w14:textId="1CC97852" w:rsidR="000F0ED6" w:rsidRDefault="000F0ED6" w:rsidP="000F0ED6">
            <w:pPr>
              <w:jc w:val="center"/>
              <w:rPr>
                <w:lang w:val="en-US"/>
              </w:rPr>
            </w:pPr>
            <w:r>
              <w:rPr>
                <w:lang w:val="en-US"/>
              </w:rPr>
              <w:t>1</w:t>
            </w:r>
          </w:p>
        </w:tc>
        <w:tc>
          <w:tcPr>
            <w:tcW w:w="4797" w:type="dxa"/>
          </w:tcPr>
          <w:p w14:paraId="163C593D" w14:textId="04B033C2" w:rsidR="000F0ED6" w:rsidRPr="000F0ED6" w:rsidRDefault="000F0ED6" w:rsidP="000F0ED6">
            <w:pPr>
              <w:pStyle w:val="Default"/>
              <w:jc w:val="center"/>
              <w:rPr>
                <w:rFonts w:ascii="Times New Roman" w:hAnsi="Times New Roman" w:cs="Times New Roman"/>
                <w:sz w:val="20"/>
                <w:szCs w:val="20"/>
              </w:rPr>
            </w:pPr>
            <w:r w:rsidRPr="000F0ED6">
              <w:rPr>
                <w:rFonts w:ascii="Times New Roman" w:hAnsi="Times New Roman" w:cs="Times New Roman"/>
                <w:sz w:val="20"/>
                <w:szCs w:val="20"/>
              </w:rPr>
              <w:t xml:space="preserve">Inter-frequency RSTD measurement reporting for UE supporting OTDOA; 1 report capable of minimum 16 cell measurements for at least one inter-frequency. Only applicable as specified in Section 8.1.2.6. </w:t>
            </w:r>
          </w:p>
        </w:tc>
      </w:tr>
      <w:tr w:rsidR="000F0ED6" w14:paraId="47FFD2C4" w14:textId="77777777" w:rsidTr="003F41F8">
        <w:trPr>
          <w:jc w:val="center"/>
        </w:trPr>
        <w:tc>
          <w:tcPr>
            <w:tcW w:w="9562" w:type="dxa"/>
            <w:gridSpan w:val="3"/>
          </w:tcPr>
          <w:p w14:paraId="43FFD0F3" w14:textId="74E50EEF" w:rsidR="000F0ED6" w:rsidRPr="000F0ED6" w:rsidRDefault="000F0ED6" w:rsidP="000F0ED6">
            <w:pPr>
              <w:pStyle w:val="Default"/>
              <w:rPr>
                <w:rFonts w:ascii="Times New Roman" w:hAnsi="Times New Roman" w:cs="Times New Roman"/>
                <w:sz w:val="18"/>
                <w:szCs w:val="18"/>
              </w:rPr>
            </w:pPr>
            <w:r w:rsidRPr="000F0ED6">
              <w:rPr>
                <w:rFonts w:ascii="Times New Roman" w:hAnsi="Times New Roman" w:cs="Times New Roman"/>
                <w:sz w:val="20"/>
                <w:szCs w:val="20"/>
              </w:rPr>
              <w:t xml:space="preserve">Note: 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 </w:t>
            </w:r>
          </w:p>
        </w:tc>
      </w:tr>
    </w:tbl>
    <w:p w14:paraId="5642C87A" w14:textId="29069216" w:rsidR="000F0ED6" w:rsidRDefault="000F0ED6" w:rsidP="003214FA">
      <w:pPr>
        <w:rPr>
          <w:lang w:val="en-US"/>
        </w:rPr>
      </w:pPr>
    </w:p>
    <w:p w14:paraId="7C1F1621" w14:textId="091526EA" w:rsidR="00D22C14" w:rsidRDefault="00D22C14" w:rsidP="003214FA">
      <w:pPr>
        <w:rPr>
          <w:lang w:val="en-US"/>
        </w:rPr>
      </w:pPr>
      <w:r>
        <w:rPr>
          <w:lang w:val="en-US"/>
        </w:rPr>
        <w:t>In our view, NR RSTD reporting criteria should also set E</w:t>
      </w:r>
      <w:r w:rsidRPr="000F0ED6">
        <w:rPr>
          <w:vertAlign w:val="subscript"/>
          <w:lang w:val="en-US"/>
        </w:rPr>
        <w:t>cat</w:t>
      </w:r>
      <w:r>
        <w:rPr>
          <w:lang w:val="en-US"/>
        </w:rPr>
        <w:t xml:space="preserve"> = 1 for intra-frequency and inter-frequency RSTD measurements. Details on the minimum number of cell measurements for each and how it should be scaled with number of SCell carrier frequencies should be further discussed. The note in the above table maps to maximum 3 frequency layers supported in signaling of UE measurement report.</w:t>
      </w:r>
    </w:p>
    <w:p w14:paraId="0B82951C" w14:textId="7CA096B3" w:rsidR="00D22C14" w:rsidRDefault="00D22C14" w:rsidP="003214FA">
      <w:pPr>
        <w:rPr>
          <w:b/>
          <w:bCs/>
          <w:lang w:val="en-US"/>
        </w:rPr>
      </w:pPr>
      <w:r w:rsidRPr="00D22C14">
        <w:rPr>
          <w:b/>
          <w:bCs/>
          <w:lang w:val="en-US"/>
        </w:rPr>
        <w:t>Proposal 5. NR RSTD reporting criteria to set E</w:t>
      </w:r>
      <w:r w:rsidRPr="00D22C14">
        <w:rPr>
          <w:b/>
          <w:bCs/>
          <w:vertAlign w:val="subscript"/>
          <w:lang w:val="en-US"/>
        </w:rPr>
        <w:t>cat</w:t>
      </w:r>
      <w:r w:rsidRPr="00D22C14">
        <w:rPr>
          <w:b/>
          <w:bCs/>
          <w:lang w:val="en-US"/>
        </w:rPr>
        <w:t xml:space="preserve"> = 1 for intra-frequency and inter-frequency RSTD measurements. Details on the minimum number of cell measurements for each and how it should be scaled with number of SCell carrier frequencies should be further discussed.</w:t>
      </w:r>
    </w:p>
    <w:p w14:paraId="37C24731" w14:textId="6B22FAED" w:rsidR="004F08ED" w:rsidRDefault="00846EBD" w:rsidP="004F08ED">
      <w:pPr>
        <w:pStyle w:val="Heading1"/>
        <w:rPr>
          <w:lang w:val="en-US"/>
        </w:rPr>
      </w:pPr>
      <w:r>
        <w:rPr>
          <w:lang w:val="en-US"/>
        </w:rPr>
        <w:t>Intra-frequency vs. i</w:t>
      </w:r>
      <w:r w:rsidR="004F08ED">
        <w:rPr>
          <w:lang w:val="en-US"/>
        </w:rPr>
        <w:t>nter-frequency DL PRS</w:t>
      </w:r>
    </w:p>
    <w:p w14:paraId="4807FB4B" w14:textId="3F643043" w:rsidR="004F08ED" w:rsidRDefault="004F08ED" w:rsidP="004F08ED">
      <w:pPr>
        <w:rPr>
          <w:lang w:val="en-US"/>
        </w:rPr>
      </w:pPr>
      <w:r>
        <w:rPr>
          <w:lang w:val="en-US"/>
        </w:rPr>
        <w:t xml:space="preserve">Existing definition of intra-frequency and inter-frequency SSB-based measurements cannot be readily applied to DL PRS. In our view, intra-frequency vs. inter-frequency DL PRS definitions should follow those in CSI-RS for mobility. UE can measure DL PRS of a neighbor cell simultaneously with serving cell if the neighbor cell DL PRS has the same SCS of the serving cell DL PRS and is contained within the bandwidth of the serving cell DL PRS. However, the measurements of the two cells should ideally go through the same RF paths and impairments (e.g., droop) in order to fairly compare them. Otherwise, the measurement inaccuracy increases. Thus, it is proposed to define intra-frequency DL PRS as when the SCS, BW, </w:t>
      </w:r>
      <w:r w:rsidR="004B234C">
        <w:rPr>
          <w:lang w:val="en-US"/>
        </w:rPr>
        <w:t xml:space="preserve">CP, </w:t>
      </w:r>
      <w:r>
        <w:rPr>
          <w:lang w:val="en-US"/>
        </w:rPr>
        <w:t>and location of neighbor DL PRS are the same as those of serving cell.</w:t>
      </w:r>
    </w:p>
    <w:p w14:paraId="6167EA2D" w14:textId="594491E6" w:rsidR="004F08ED" w:rsidRPr="00846EBD" w:rsidRDefault="004F08ED" w:rsidP="004F08ED">
      <w:pPr>
        <w:rPr>
          <w:b/>
          <w:bCs/>
          <w:lang w:val="en-US"/>
        </w:rPr>
      </w:pPr>
      <w:r w:rsidRPr="00846EBD">
        <w:rPr>
          <w:b/>
          <w:bCs/>
          <w:lang w:val="en-US"/>
        </w:rPr>
        <w:t xml:space="preserve">Observation 4. </w:t>
      </w:r>
      <w:r w:rsidR="00846EBD" w:rsidRPr="00846EBD">
        <w:rPr>
          <w:b/>
          <w:bCs/>
          <w:lang w:val="en-US"/>
        </w:rPr>
        <w:t>UE can measure DL PRS of a neighbor cell simultaneously with serving cell if the neighbor cell DL PRS has the same SCS of the serving cell DL PRS and is contained within the bandwidth of the serving cell DL PRS. However, the measurements of the two cells should ideally go through the same RF paths and impairments (e.g., droop) in order to fairly compare them. Otherwise, the measurement inaccuracy increases.</w:t>
      </w:r>
    </w:p>
    <w:p w14:paraId="369E0164" w14:textId="69B523F8" w:rsidR="00846EBD" w:rsidRDefault="00846EBD" w:rsidP="004F08ED">
      <w:pPr>
        <w:rPr>
          <w:b/>
          <w:bCs/>
          <w:lang w:val="en-US"/>
        </w:rPr>
      </w:pPr>
      <w:r w:rsidRPr="00846EBD">
        <w:rPr>
          <w:b/>
          <w:bCs/>
          <w:lang w:val="en-US"/>
        </w:rPr>
        <w:t xml:space="preserve">Proposal 6. RAN4 to define intra-frequency DL PRS as when the SCS, BW, </w:t>
      </w:r>
      <w:r w:rsidR="004B234C">
        <w:rPr>
          <w:b/>
          <w:bCs/>
          <w:lang w:val="en-US"/>
        </w:rPr>
        <w:t xml:space="preserve">CP, </w:t>
      </w:r>
      <w:r w:rsidRPr="00846EBD">
        <w:rPr>
          <w:b/>
          <w:bCs/>
          <w:lang w:val="en-US"/>
        </w:rPr>
        <w:t xml:space="preserve">and location of neighbor DL PRS are the same as those of serving cell. Scenarios not falling under intra-frequency DL PRS are defined as inter-frequency DL PRS. </w:t>
      </w:r>
    </w:p>
    <w:p w14:paraId="71386B1F" w14:textId="0E4EE944" w:rsidR="0070416C" w:rsidRDefault="0070416C" w:rsidP="004F08ED">
      <w:pPr>
        <w:rPr>
          <w:lang w:val="en-US"/>
        </w:rPr>
      </w:pPr>
      <w:r>
        <w:rPr>
          <w:lang w:val="en-US"/>
        </w:rPr>
        <w:lastRenderedPageBreak/>
        <w:t xml:space="preserve">With the above definitions, measurement gaps are needed when SCS of DL PRS is different from SCS of the active BWP or the DL PRS is not fully contained within the active BWP. </w:t>
      </w:r>
    </w:p>
    <w:p w14:paraId="04578B5B" w14:textId="7CEF23C6" w:rsidR="0070416C" w:rsidRPr="0070416C" w:rsidRDefault="0070416C" w:rsidP="004F08ED">
      <w:pPr>
        <w:rPr>
          <w:b/>
          <w:bCs/>
          <w:lang w:val="en-US"/>
        </w:rPr>
      </w:pPr>
      <w:r w:rsidRPr="0070416C">
        <w:rPr>
          <w:b/>
          <w:bCs/>
          <w:lang w:val="en-US"/>
        </w:rPr>
        <w:t xml:space="preserve">Proposal 7. UE will need measurement gaps for DL PRS if the SCS </w:t>
      </w:r>
      <w:r w:rsidR="004B234C">
        <w:rPr>
          <w:b/>
          <w:bCs/>
          <w:lang w:val="en-US"/>
        </w:rPr>
        <w:t xml:space="preserve">or CP </w:t>
      </w:r>
      <w:r w:rsidRPr="0070416C">
        <w:rPr>
          <w:b/>
          <w:bCs/>
          <w:lang w:val="en-US"/>
        </w:rPr>
        <w:t xml:space="preserve">of DL PRS is different from SCS </w:t>
      </w:r>
      <w:r w:rsidR="004B234C">
        <w:rPr>
          <w:b/>
          <w:bCs/>
          <w:lang w:val="en-US"/>
        </w:rPr>
        <w:t xml:space="preserve">or CP </w:t>
      </w:r>
      <w:r w:rsidRPr="0070416C">
        <w:rPr>
          <w:b/>
          <w:bCs/>
          <w:lang w:val="en-US"/>
        </w:rPr>
        <w:t>of the active BWP or DL PRS is not fully contained within the active BWP.</w:t>
      </w:r>
      <w:r w:rsidR="001A4704">
        <w:rPr>
          <w:b/>
          <w:bCs/>
          <w:lang w:val="en-US"/>
        </w:rPr>
        <w:t xml:space="preserve"> </w:t>
      </w:r>
    </w:p>
    <w:p w14:paraId="104A9228" w14:textId="2FC03244" w:rsidR="00572521" w:rsidRDefault="00572521" w:rsidP="00572521">
      <w:pPr>
        <w:rPr>
          <w:lang w:val="en-US"/>
        </w:rPr>
      </w:pPr>
      <w:r>
        <w:rPr>
          <w:lang w:val="en-US"/>
        </w:rPr>
        <w:t xml:space="preserve">When UE has to change its active BWP to process a DL PRS resource (e.g., to process a higher BW PRS in the same frequency layer or to process PRS in another frequency layer), it will require a measurement gap. The placement of PRS slots within the measurement gap is important to minimize the interruption that UE will experience for BWP switch and RF tune. The BWP switch delay requirements for periodic PRS is similar to those in CSI-RS for mobility work item. Moreover, </w:t>
      </w:r>
      <w:r w:rsidR="00FE2176">
        <w:rPr>
          <w:lang w:val="en-US"/>
        </w:rPr>
        <w:t xml:space="preserve">as a few slots of the measurement gap is needed for BWP switch to/from the active BWP, </w:t>
      </w:r>
      <w:r>
        <w:rPr>
          <w:lang w:val="en-US"/>
        </w:rPr>
        <w:t xml:space="preserve">the effective number of PRS slots </w:t>
      </w:r>
      <w:r w:rsidR="00FE2176">
        <w:rPr>
          <w:lang w:val="en-US"/>
        </w:rPr>
        <w:t xml:space="preserve">can become smaller than the configured </w:t>
      </w:r>
      <w:r>
        <w:rPr>
          <w:lang w:val="en-US"/>
        </w:rPr>
        <w:t>N</w:t>
      </w:r>
      <w:r w:rsidRPr="00143185">
        <w:rPr>
          <w:vertAlign w:val="subscript"/>
          <w:lang w:val="en-US"/>
        </w:rPr>
        <w:t>PRS</w:t>
      </w:r>
      <w:r w:rsidR="00FE2176">
        <w:rPr>
          <w:vertAlign w:val="subscript"/>
          <w:lang w:val="en-US"/>
        </w:rPr>
        <w:t xml:space="preserve"> </w:t>
      </w:r>
      <w:r w:rsidR="00FE2176">
        <w:rPr>
          <w:lang w:val="en-US"/>
        </w:rPr>
        <w:t>in some scenarios which can impact accuracy requirements. This situation exists in LTE as well when N</w:t>
      </w:r>
      <w:r w:rsidR="00FE2176" w:rsidRPr="00143185">
        <w:rPr>
          <w:vertAlign w:val="subscript"/>
          <w:lang w:val="en-US"/>
        </w:rPr>
        <w:t>PRS</w:t>
      </w:r>
      <w:r w:rsidR="00FE2176">
        <w:rPr>
          <w:lang w:val="en-US"/>
        </w:rPr>
        <w:t xml:space="preserve"> = 6 is used within a measurement gap. The effective number of PRS subframes is reduced to 5 as 0.5ms is needed for RF tune-in and tune-back.</w:t>
      </w:r>
    </w:p>
    <w:p w14:paraId="7B552C5F" w14:textId="595D67E4" w:rsidR="00FE2176" w:rsidRPr="00FE2176" w:rsidRDefault="00FE2176" w:rsidP="00572521">
      <w:pPr>
        <w:rPr>
          <w:b/>
          <w:bCs/>
          <w:lang w:val="en-US"/>
        </w:rPr>
      </w:pPr>
      <w:r w:rsidRPr="00FE2176">
        <w:rPr>
          <w:b/>
          <w:bCs/>
          <w:lang w:val="en-US"/>
        </w:rPr>
        <w:t xml:space="preserve">Observation </w:t>
      </w:r>
      <w:r w:rsidR="0070416C">
        <w:rPr>
          <w:b/>
          <w:bCs/>
          <w:lang w:val="en-US"/>
        </w:rPr>
        <w:t>5</w:t>
      </w:r>
      <w:r w:rsidRPr="00FE2176">
        <w:rPr>
          <w:b/>
          <w:bCs/>
          <w:lang w:val="en-US"/>
        </w:rPr>
        <w:t xml:space="preserve">. The placement of PRS slots within the measurement gap is important to minimize the interruption that UE will experience for BWP switch. The BWP switch delay requirements for periodic PRS </w:t>
      </w:r>
      <w:r w:rsidR="00DA26BF">
        <w:rPr>
          <w:b/>
          <w:bCs/>
          <w:lang w:val="en-US"/>
        </w:rPr>
        <w:t>are</w:t>
      </w:r>
      <w:r w:rsidRPr="00FE2176">
        <w:rPr>
          <w:b/>
          <w:bCs/>
          <w:lang w:val="en-US"/>
        </w:rPr>
        <w:t xml:space="preserve"> similar to those in CSI-RS for mobility work item.</w:t>
      </w:r>
    </w:p>
    <w:p w14:paraId="61C04779" w14:textId="39A37A9B" w:rsidR="00FE2176" w:rsidRDefault="00FE2176" w:rsidP="00572521">
      <w:pPr>
        <w:rPr>
          <w:b/>
          <w:bCs/>
          <w:lang w:val="en-US"/>
        </w:rPr>
      </w:pPr>
      <w:r w:rsidRPr="00FE2176">
        <w:rPr>
          <w:b/>
          <w:bCs/>
          <w:lang w:val="en-US"/>
        </w:rPr>
        <w:t xml:space="preserve">Proposal </w:t>
      </w:r>
      <w:r w:rsidR="0070416C">
        <w:rPr>
          <w:b/>
          <w:bCs/>
          <w:lang w:val="en-US"/>
        </w:rPr>
        <w:t>8</w:t>
      </w:r>
      <w:r w:rsidRPr="00FE2176">
        <w:rPr>
          <w:b/>
          <w:bCs/>
          <w:lang w:val="en-US"/>
        </w:rPr>
        <w:t>. RAN4 to use the same BWP switch delay and interruptions as in CSI-RS for mobility for DL PRS processing with BW outside of the active DL BWP.</w:t>
      </w:r>
    </w:p>
    <w:p w14:paraId="051F8EFE" w14:textId="5A4BEC18" w:rsidR="00666609" w:rsidRDefault="00666609" w:rsidP="00666609">
      <w:pPr>
        <w:rPr>
          <w:lang w:val="en-US"/>
        </w:rPr>
      </w:pPr>
      <w:r>
        <w:rPr>
          <w:lang w:val="en-US"/>
        </w:rPr>
        <w:t xml:space="preserve">Per RAN1 specification, it is possible to allocate part of the active BWP (central part) to DL PRS and schedule other channels (e.g., PDCCH, PDSCH) on outer PRBs. This was also possible in LTE. However, PRS subframes/slots have historically not been co-scheduled with other DL channels/signals in LTE. In our view, it is beneficial to have scheduling restrictions on PRS slots. In resolution-limited scenarios, DL PRS needs to span the entire active BWP (and maybe even beyond) anyway. In noise-limited scenarios, DL PRS can be amplified by putting all of transmit power into a smaller PRS bandwidth. </w:t>
      </w:r>
      <w:r w:rsidR="00F62386">
        <w:rPr>
          <w:lang w:val="en-US"/>
        </w:rPr>
        <w:t xml:space="preserve">In FR2, UE may need to switch its Rx beam from the PDCCH/PDSCH beam to receive and process a PRS resource. </w:t>
      </w:r>
      <w:r>
        <w:rPr>
          <w:lang w:val="en-US"/>
        </w:rPr>
        <w:t>We propose RAN4 to consider defining requirements for DL PRS under scheduling restrictions with no other DL channel/signal present in PRS slots.</w:t>
      </w:r>
    </w:p>
    <w:p w14:paraId="290063F4" w14:textId="161A5DE1" w:rsidR="00666609" w:rsidRPr="00F62386" w:rsidRDefault="00666609" w:rsidP="00666609">
      <w:pPr>
        <w:rPr>
          <w:b/>
          <w:bCs/>
          <w:lang w:val="en-US"/>
        </w:rPr>
      </w:pPr>
      <w:r w:rsidRPr="002A1A92">
        <w:rPr>
          <w:b/>
          <w:bCs/>
          <w:lang w:val="en-US"/>
        </w:rPr>
        <w:t xml:space="preserve">Observation </w:t>
      </w:r>
      <w:r w:rsidR="0065029E">
        <w:rPr>
          <w:b/>
          <w:bCs/>
          <w:lang w:val="en-US"/>
        </w:rPr>
        <w:t>6</w:t>
      </w:r>
      <w:r w:rsidRPr="002A1A92">
        <w:rPr>
          <w:b/>
          <w:bCs/>
          <w:lang w:val="en-US"/>
        </w:rPr>
        <w:t>. It is beneficial to have scheduling restrictions on PRS slots. In resolution-limited scenarios, DL PRS needs to span the entire active BWP (and maybe even beyond) anyway. In noise-limited scenarios, DL PRS can be amplified by putting all of transmit power into a smaller PRS bandwidth.</w:t>
      </w:r>
      <w:r w:rsidR="00F62386" w:rsidRPr="00F62386">
        <w:rPr>
          <w:lang w:val="en-US"/>
        </w:rPr>
        <w:t xml:space="preserve"> </w:t>
      </w:r>
      <w:r w:rsidR="00F62386" w:rsidRPr="00F62386">
        <w:rPr>
          <w:b/>
          <w:bCs/>
          <w:lang w:val="en-US"/>
        </w:rPr>
        <w:t>In FR2, UE may need to switch its Rx beam from the PDCCH/PDSCH beam to receive and process a PRS resource.</w:t>
      </w:r>
    </w:p>
    <w:p w14:paraId="14DCBA65" w14:textId="498CFD3F" w:rsidR="002A1A92" w:rsidRPr="002A1A92" w:rsidRDefault="00666609" w:rsidP="002A1A92">
      <w:pPr>
        <w:rPr>
          <w:b/>
          <w:bCs/>
          <w:lang w:val="en-US"/>
        </w:rPr>
      </w:pPr>
      <w:r w:rsidRPr="002A1A92">
        <w:rPr>
          <w:b/>
          <w:bCs/>
          <w:lang w:val="en-US"/>
        </w:rPr>
        <w:t xml:space="preserve">Proposal </w:t>
      </w:r>
      <w:r w:rsidR="0070416C">
        <w:rPr>
          <w:b/>
          <w:bCs/>
          <w:lang w:val="en-US"/>
        </w:rPr>
        <w:t>9</w:t>
      </w:r>
      <w:r w:rsidRPr="002A1A92">
        <w:rPr>
          <w:b/>
          <w:bCs/>
          <w:lang w:val="en-US"/>
        </w:rPr>
        <w:t xml:space="preserve">. </w:t>
      </w:r>
      <w:r w:rsidR="002A1A92" w:rsidRPr="002A1A92">
        <w:rPr>
          <w:b/>
          <w:bCs/>
          <w:lang w:val="en-US"/>
        </w:rPr>
        <w:t>RAN4 to consider defining requirements for DL PRS under scheduling restrictions with no other DL channel/signal present in PRS slots.</w:t>
      </w:r>
    </w:p>
    <w:p w14:paraId="05109B46" w14:textId="04AF9A7E" w:rsidR="00F2107A" w:rsidRDefault="0032488E" w:rsidP="005D6C7D">
      <w:pPr>
        <w:pStyle w:val="Heading1"/>
        <w:rPr>
          <w:lang w:val="en-US"/>
        </w:rPr>
      </w:pPr>
      <w:r>
        <w:rPr>
          <w:lang w:val="en-US"/>
        </w:rPr>
        <w:t>Con</w:t>
      </w:r>
      <w:r w:rsidR="00F2107A">
        <w:rPr>
          <w:lang w:val="en-US"/>
        </w:rPr>
        <w:t>clusions</w:t>
      </w:r>
    </w:p>
    <w:p w14:paraId="5C5C89A6" w14:textId="77777777" w:rsidR="007E3533" w:rsidRPr="009B717B" w:rsidRDefault="007E3533" w:rsidP="007E3533">
      <w:pPr>
        <w:rPr>
          <w:b/>
          <w:bCs/>
          <w:lang w:val="en-US"/>
        </w:rPr>
      </w:pPr>
      <w:r w:rsidRPr="009B717B">
        <w:rPr>
          <w:b/>
          <w:bCs/>
          <w:lang w:val="en-US"/>
        </w:rPr>
        <w:t xml:space="preserve">Observation 1. In LTE, RSTD requirements were defined for only a subset of possible PRS configurations based on tradeoff of acceptable performance vs. overhead. DL PRS in NR has even more configuration flexibility compared to PRS in LTE. </w:t>
      </w:r>
    </w:p>
    <w:p w14:paraId="5FC67AA9" w14:textId="1E633DCA" w:rsidR="007E3533" w:rsidRPr="007E3533" w:rsidRDefault="007E3533" w:rsidP="007E3533">
      <w:pPr>
        <w:rPr>
          <w:b/>
          <w:bCs/>
          <w:lang w:val="en-US"/>
        </w:rPr>
      </w:pPr>
      <w:r w:rsidRPr="009B717B">
        <w:rPr>
          <w:b/>
          <w:bCs/>
          <w:lang w:val="en-US"/>
        </w:rPr>
        <w:t xml:space="preserve">Proposal 1. RAN4 to select a subset of DL PRS configurations for defining the requirements like LTE. The criterion for such selection can further be discussed but meeting regulatory requirements is a reasonable option. System simulations can be used to identify the subset. </w:t>
      </w:r>
    </w:p>
    <w:p w14:paraId="34A96794" w14:textId="6E1F6887" w:rsidR="007E3533" w:rsidRPr="007E3533" w:rsidRDefault="007E3533" w:rsidP="007E3533">
      <w:pPr>
        <w:rPr>
          <w:b/>
          <w:bCs/>
          <w:lang w:val="en-US"/>
        </w:rPr>
      </w:pPr>
      <w:r w:rsidRPr="001757E1">
        <w:rPr>
          <w:b/>
          <w:bCs/>
          <w:lang w:val="en-US"/>
        </w:rPr>
        <w:t>Proposal 2. RSTD measurement accuracy to be defined using samples from only one PRS occasion. Combining measurements across PRS occasions, if available, to improve performance should be left to UE implementation.</w:t>
      </w:r>
    </w:p>
    <w:p w14:paraId="0DA739FA" w14:textId="77777777" w:rsidR="007E3533" w:rsidRPr="00003DE8" w:rsidRDefault="007E3533" w:rsidP="007E3533">
      <w:pPr>
        <w:rPr>
          <w:b/>
          <w:bCs/>
          <w:lang w:val="en-US"/>
        </w:rPr>
      </w:pPr>
      <w:r w:rsidRPr="00003DE8">
        <w:rPr>
          <w:b/>
          <w:bCs/>
          <w:lang w:val="en-US"/>
        </w:rPr>
        <w:t>Observation 2. To meet commercial requirements, the reporting granularity of any timing measurement including RSTD must have a step size which is significantly smaller than 10 ns.</w:t>
      </w:r>
    </w:p>
    <w:p w14:paraId="2953C487" w14:textId="6555DFA9" w:rsidR="007E3533" w:rsidRPr="007E3533" w:rsidRDefault="007E3533" w:rsidP="007E3533">
      <w:pPr>
        <w:rPr>
          <w:b/>
          <w:bCs/>
          <w:lang w:val="en-US"/>
        </w:rPr>
      </w:pPr>
      <w:r w:rsidRPr="00FB64E1">
        <w:rPr>
          <w:b/>
          <w:bCs/>
          <w:lang w:val="en-US"/>
        </w:rPr>
        <w:t>Proposal 3. RSTD report mapping table to be specified with T</w:t>
      </w:r>
      <w:r w:rsidRPr="00FB64E1">
        <w:rPr>
          <w:b/>
          <w:bCs/>
          <w:vertAlign w:val="subscript"/>
          <w:lang w:val="en-US"/>
        </w:rPr>
        <w:t>c</w:t>
      </w:r>
      <w:r w:rsidRPr="00FB64E1">
        <w:rPr>
          <w:b/>
          <w:bCs/>
          <w:lang w:val="en-US"/>
        </w:rPr>
        <w:t xml:space="preserve"> = 0.509 ns as the smallest step size. UE report mapping can be configured by higher layers to use a larger step size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b/>
                <w:bCs/>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FB64E1">
        <w:rPr>
          <w:b/>
          <w:bCs/>
          <w:lang w:val="en-US"/>
        </w:rPr>
        <w:t xml:space="preserve"> where </w:t>
      </w:r>
      <m:oMath>
        <m:r>
          <m:rPr>
            <m:sty m:val="bi"/>
          </m:rPr>
          <w:rPr>
            <w:rFonts w:ascii="Cambria Math" w:hAnsi="Cambria Math"/>
            <w:lang w:val="en-US"/>
          </w:rPr>
          <m:t>μ</m:t>
        </m:r>
      </m:oMath>
      <w:r w:rsidRPr="00FB64E1">
        <w:rPr>
          <w:b/>
          <w:bCs/>
          <w:lang w:val="en-US"/>
        </w:rPr>
        <w:t xml:space="preserve"> = 0,1,2,3,4,5.</w:t>
      </w:r>
    </w:p>
    <w:p w14:paraId="2B8378B5" w14:textId="77777777" w:rsidR="007E3533" w:rsidRPr="009764E5" w:rsidRDefault="007E3533" w:rsidP="007E3533">
      <w:pPr>
        <w:rPr>
          <w:b/>
          <w:bCs/>
          <w:color w:val="000000" w:themeColor="text1"/>
        </w:rPr>
      </w:pPr>
      <w:r w:rsidRPr="009764E5">
        <w:rPr>
          <w:b/>
          <w:bCs/>
          <w:color w:val="000000" w:themeColor="text1"/>
        </w:rPr>
        <w:t>Observation 3. RSTD measurement reporting delay is impacted by at least the following factors:</w:t>
      </w:r>
    </w:p>
    <w:p w14:paraId="6DBA7D4A" w14:textId="77777777" w:rsidR="007E3533" w:rsidRPr="009764E5"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Periodicity of PRS occasions</w:t>
      </w:r>
    </w:p>
    <w:p w14:paraId="26655FF1" w14:textId="77777777" w:rsidR="007E3533" w:rsidRPr="009764E5" w:rsidRDefault="007E3533" w:rsidP="007E3533">
      <w:pPr>
        <w:pStyle w:val="ListParagraph"/>
        <w:numPr>
          <w:ilvl w:val="0"/>
          <w:numId w:val="36"/>
        </w:numPr>
        <w:rPr>
          <w:b/>
          <w:bCs/>
          <w:color w:val="000000" w:themeColor="text1"/>
          <w:sz w:val="20"/>
          <w:szCs w:val="20"/>
        </w:rPr>
      </w:pPr>
      <w:r>
        <w:rPr>
          <w:b/>
          <w:bCs/>
          <w:color w:val="000000" w:themeColor="text1"/>
          <w:sz w:val="20"/>
          <w:szCs w:val="20"/>
        </w:rPr>
        <w:t>Total n</w:t>
      </w:r>
      <w:r w:rsidRPr="009764E5">
        <w:rPr>
          <w:b/>
          <w:bCs/>
          <w:color w:val="000000" w:themeColor="text1"/>
          <w:sz w:val="20"/>
          <w:szCs w:val="20"/>
        </w:rPr>
        <w:t>umber of PRS resources to be measured</w:t>
      </w:r>
    </w:p>
    <w:p w14:paraId="1A1E754C" w14:textId="77777777" w:rsidR="007E3533" w:rsidRPr="009764E5"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lastRenderedPageBreak/>
        <w:t xml:space="preserve">UE processing power per </w:t>
      </w:r>
      <w:r>
        <w:rPr>
          <w:b/>
          <w:bCs/>
          <w:color w:val="000000" w:themeColor="text1"/>
          <w:sz w:val="20"/>
          <w:szCs w:val="20"/>
        </w:rPr>
        <w:t>a unit of time (e.g, PRS occasion)</w:t>
      </w:r>
    </w:p>
    <w:p w14:paraId="1D86A8CC" w14:textId="77777777" w:rsidR="007E3533" w:rsidRPr="009764E5"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RSTD uncertainty window as indicated by OTDOA assistance data</w:t>
      </w:r>
    </w:p>
    <w:p w14:paraId="520658D3" w14:textId="77777777" w:rsidR="007E3533" w:rsidRPr="009764E5"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Delay related to a single PRS positioning occasion including sampling and processing time</w:t>
      </w:r>
    </w:p>
    <w:p w14:paraId="588A71C4" w14:textId="77777777" w:rsidR="007E3533"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Number of frequency layers to be measured</w:t>
      </w:r>
    </w:p>
    <w:p w14:paraId="523B413F" w14:textId="77777777" w:rsidR="007E3533" w:rsidRPr="009764E5" w:rsidRDefault="007E3533" w:rsidP="007E3533">
      <w:pPr>
        <w:pStyle w:val="ListParagraph"/>
        <w:numPr>
          <w:ilvl w:val="0"/>
          <w:numId w:val="36"/>
        </w:numPr>
        <w:rPr>
          <w:b/>
          <w:bCs/>
          <w:color w:val="000000" w:themeColor="text1"/>
          <w:sz w:val="20"/>
          <w:szCs w:val="20"/>
        </w:rPr>
      </w:pPr>
      <w:r>
        <w:rPr>
          <w:b/>
          <w:bCs/>
          <w:color w:val="000000" w:themeColor="text1"/>
          <w:sz w:val="20"/>
          <w:szCs w:val="20"/>
        </w:rPr>
        <w:t>UE Rx beam sweeping factor in FR2</w:t>
      </w:r>
    </w:p>
    <w:p w14:paraId="4642EDF2" w14:textId="77777777" w:rsidR="007E3533" w:rsidRPr="009764E5" w:rsidRDefault="007E3533" w:rsidP="007E3533">
      <w:pPr>
        <w:rPr>
          <w:b/>
          <w:bCs/>
          <w:color w:val="000000" w:themeColor="text1"/>
        </w:rPr>
      </w:pPr>
    </w:p>
    <w:p w14:paraId="10AF3183" w14:textId="77777777" w:rsidR="007E3533" w:rsidRPr="009764E5" w:rsidRDefault="007E3533" w:rsidP="007E3533">
      <w:pPr>
        <w:rPr>
          <w:b/>
          <w:bCs/>
          <w:color w:val="000000" w:themeColor="text1"/>
        </w:rPr>
      </w:pPr>
      <w:r w:rsidRPr="009764E5">
        <w:rPr>
          <w:b/>
          <w:bCs/>
          <w:color w:val="000000" w:themeColor="text1"/>
        </w:rPr>
        <w:t>Proposal 4. RSTD measurement reporting delay formulation in LTE to be used as a starting point for NR. Moreover,</w:t>
      </w:r>
    </w:p>
    <w:p w14:paraId="2C0B24D7" w14:textId="77777777" w:rsidR="007E3533"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 xml:space="preserve">Periodicity of PRS occasions: </w:t>
      </w:r>
    </w:p>
    <w:p w14:paraId="42911310" w14:textId="77777777" w:rsidR="007E3533" w:rsidRPr="009764E5" w:rsidRDefault="007E3533" w:rsidP="007E3533">
      <w:pPr>
        <w:pStyle w:val="ListParagraph"/>
        <w:numPr>
          <w:ilvl w:val="1"/>
          <w:numId w:val="36"/>
        </w:numPr>
        <w:rPr>
          <w:b/>
          <w:bCs/>
          <w:color w:val="000000" w:themeColor="text1"/>
          <w:sz w:val="20"/>
          <w:szCs w:val="20"/>
        </w:rPr>
      </w:pPr>
      <w:r>
        <w:rPr>
          <w:b/>
          <w:bCs/>
          <w:color w:val="000000" w:themeColor="text1"/>
          <w:sz w:val="20"/>
          <w:szCs w:val="20"/>
        </w:rPr>
        <w:t xml:space="preserve">Proposal 4a. </w:t>
      </w:r>
      <w:r w:rsidRPr="009764E5">
        <w:rPr>
          <w:b/>
          <w:bCs/>
          <w:color w:val="000000" w:themeColor="text1"/>
          <w:sz w:val="20"/>
          <w:szCs w:val="20"/>
        </w:rPr>
        <w:t xml:space="preserve">160 ms as in LTE to be considered as minimum periodicity </w:t>
      </w:r>
    </w:p>
    <w:p w14:paraId="5295272D" w14:textId="77777777" w:rsidR="007E3533" w:rsidRPr="009764E5"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Number of PRS resources to be measured: pending discussions in RAN1</w:t>
      </w:r>
    </w:p>
    <w:p w14:paraId="3F0CC56F" w14:textId="77777777" w:rsidR="007E3533"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Pr>
          <w:b/>
          <w:bCs/>
          <w:color w:val="000000" w:themeColor="text1"/>
          <w:sz w:val="20"/>
          <w:szCs w:val="20"/>
        </w:rPr>
        <w:t xml:space="preserve">a unit of time (e.g., </w:t>
      </w:r>
      <w:r w:rsidRPr="009764E5">
        <w:rPr>
          <w:b/>
          <w:bCs/>
          <w:color w:val="000000" w:themeColor="text1"/>
          <w:sz w:val="20"/>
          <w:szCs w:val="20"/>
        </w:rPr>
        <w:t>PRS occasion</w:t>
      </w:r>
      <w:r>
        <w:rPr>
          <w:b/>
          <w:bCs/>
          <w:color w:val="000000" w:themeColor="text1"/>
          <w:sz w:val="20"/>
          <w:szCs w:val="20"/>
        </w:rPr>
        <w:t>)</w:t>
      </w:r>
      <w:r w:rsidRPr="009764E5">
        <w:rPr>
          <w:b/>
          <w:bCs/>
          <w:color w:val="000000" w:themeColor="text1"/>
          <w:sz w:val="20"/>
          <w:szCs w:val="20"/>
        </w:rPr>
        <w:t xml:space="preserve">: </w:t>
      </w:r>
    </w:p>
    <w:p w14:paraId="67FF163A" w14:textId="77777777" w:rsidR="007E3533" w:rsidRPr="009764E5" w:rsidRDefault="007E3533" w:rsidP="007E3533">
      <w:pPr>
        <w:pStyle w:val="ListParagraph"/>
        <w:numPr>
          <w:ilvl w:val="1"/>
          <w:numId w:val="36"/>
        </w:numPr>
        <w:rPr>
          <w:b/>
          <w:bCs/>
          <w:color w:val="000000" w:themeColor="text1"/>
          <w:sz w:val="20"/>
          <w:szCs w:val="20"/>
        </w:rPr>
      </w:pPr>
      <w:r>
        <w:rPr>
          <w:b/>
          <w:bCs/>
          <w:color w:val="000000" w:themeColor="text1"/>
          <w:sz w:val="20"/>
          <w:szCs w:val="20"/>
        </w:rPr>
        <w:t>Proposal 4b. RAN4 to define requirements assuming a UE processing power of X number of PRS resources per 160ms. The value of X can depend on PRS BW (or FR1 vs. FR2)</w:t>
      </w:r>
    </w:p>
    <w:p w14:paraId="4004A648" w14:textId="77777777" w:rsidR="007E3533"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 xml:space="preserve">RSTD uncertainty window as indicated by OTDOA assistance data: </w:t>
      </w:r>
    </w:p>
    <w:p w14:paraId="0D6BF1A0" w14:textId="77777777" w:rsidR="007E3533" w:rsidRPr="009764E5" w:rsidRDefault="007E3533" w:rsidP="007E3533">
      <w:pPr>
        <w:pStyle w:val="ListParagraph"/>
        <w:numPr>
          <w:ilvl w:val="1"/>
          <w:numId w:val="36"/>
        </w:numPr>
        <w:rPr>
          <w:b/>
          <w:bCs/>
          <w:color w:val="000000" w:themeColor="text1"/>
          <w:sz w:val="20"/>
          <w:szCs w:val="20"/>
        </w:rPr>
      </w:pPr>
      <w:r>
        <w:rPr>
          <w:b/>
          <w:bCs/>
          <w:color w:val="000000" w:themeColor="text1"/>
          <w:sz w:val="20"/>
          <w:szCs w:val="20"/>
        </w:rPr>
        <w:t xml:space="preserve">Proposal 4c. RAN4 to define RSTD uncertainty </w:t>
      </w:r>
      <w:r w:rsidRPr="009764E5">
        <w:rPr>
          <w:b/>
          <w:bCs/>
          <w:color w:val="000000" w:themeColor="text1"/>
          <w:sz w:val="20"/>
          <w:szCs w:val="20"/>
        </w:rPr>
        <w:t>depend</w:t>
      </w:r>
      <w:r>
        <w:rPr>
          <w:b/>
          <w:bCs/>
          <w:color w:val="000000" w:themeColor="text1"/>
          <w:sz w:val="20"/>
          <w:szCs w:val="20"/>
        </w:rPr>
        <w:t>ing</w:t>
      </w:r>
      <w:r w:rsidRPr="009764E5">
        <w:rPr>
          <w:b/>
          <w:bCs/>
          <w:color w:val="000000" w:themeColor="text1"/>
          <w:sz w:val="20"/>
          <w:szCs w:val="20"/>
        </w:rPr>
        <w:t xml:space="preserve"> on numerology </w:t>
      </w:r>
      <w:r>
        <w:rPr>
          <w:b/>
          <w:bCs/>
          <w:color w:val="000000" w:themeColor="text1"/>
          <w:sz w:val="20"/>
          <w:szCs w:val="20"/>
        </w:rPr>
        <w:t>(</w:t>
      </w:r>
      <w:r w:rsidRPr="009764E5">
        <w:rPr>
          <w:b/>
          <w:bCs/>
          <w:color w:val="000000" w:themeColor="text1"/>
          <w:sz w:val="20"/>
          <w:szCs w:val="20"/>
        </w:rPr>
        <w:t>scal</w:t>
      </w:r>
      <w:r>
        <w:rPr>
          <w:b/>
          <w:bCs/>
          <w:color w:val="000000" w:themeColor="text1"/>
          <w:sz w:val="20"/>
          <w:szCs w:val="20"/>
        </w:rPr>
        <w:t>ing</w:t>
      </w:r>
      <w:r w:rsidRPr="009764E5">
        <w:rPr>
          <w:b/>
          <w:bCs/>
          <w:color w:val="000000" w:themeColor="text1"/>
          <w:sz w:val="20"/>
          <w:szCs w:val="20"/>
        </w:rPr>
        <w:t xml:space="preserve"> down with increasing SCS</w:t>
      </w:r>
      <w:r>
        <w:rPr>
          <w:b/>
          <w:bCs/>
          <w:color w:val="000000" w:themeColor="text1"/>
          <w:sz w:val="20"/>
          <w:szCs w:val="20"/>
        </w:rPr>
        <w:t>)</w:t>
      </w:r>
    </w:p>
    <w:p w14:paraId="012135F6" w14:textId="77777777" w:rsidR="007E3533" w:rsidRPr="009764E5"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Delay related to a single PRS positioning occasion including sampling and processing time: further discussions in RAN1 and RAN4</w:t>
      </w:r>
    </w:p>
    <w:p w14:paraId="721FBFA2" w14:textId="77777777" w:rsidR="007E3533" w:rsidRDefault="007E3533" w:rsidP="007E3533">
      <w:pPr>
        <w:pStyle w:val="ListParagraph"/>
        <w:numPr>
          <w:ilvl w:val="0"/>
          <w:numId w:val="36"/>
        </w:numPr>
        <w:rPr>
          <w:b/>
          <w:bCs/>
          <w:color w:val="000000" w:themeColor="text1"/>
          <w:sz w:val="20"/>
          <w:szCs w:val="20"/>
        </w:rPr>
      </w:pPr>
      <w:r w:rsidRPr="009764E5">
        <w:rPr>
          <w:b/>
          <w:bCs/>
          <w:color w:val="000000" w:themeColor="text1"/>
          <w:sz w:val="20"/>
          <w:szCs w:val="20"/>
        </w:rPr>
        <w:t xml:space="preserve">Number of frequency layers to be measured: </w:t>
      </w:r>
      <w:r>
        <w:rPr>
          <w:b/>
          <w:bCs/>
          <w:color w:val="000000" w:themeColor="text1"/>
          <w:sz w:val="20"/>
          <w:szCs w:val="20"/>
        </w:rPr>
        <w:t>pending discussions in RAN1 (definition of frequency layer)</w:t>
      </w:r>
    </w:p>
    <w:p w14:paraId="033F393D" w14:textId="604623F4" w:rsidR="007E3533" w:rsidRDefault="007E3533" w:rsidP="007E3533">
      <w:pPr>
        <w:pStyle w:val="ListParagraph"/>
        <w:numPr>
          <w:ilvl w:val="0"/>
          <w:numId w:val="36"/>
        </w:numPr>
        <w:rPr>
          <w:b/>
          <w:bCs/>
          <w:color w:val="000000" w:themeColor="text1"/>
          <w:sz w:val="20"/>
          <w:szCs w:val="20"/>
        </w:rPr>
      </w:pPr>
      <w:r>
        <w:rPr>
          <w:b/>
          <w:bCs/>
          <w:color w:val="000000" w:themeColor="text1"/>
          <w:sz w:val="20"/>
          <w:szCs w:val="20"/>
        </w:rPr>
        <w:t xml:space="preserve">UE Rx beam sweeping factor in FR2: for further discussion in RAN4. </w:t>
      </w:r>
    </w:p>
    <w:p w14:paraId="7DDE42F8" w14:textId="77777777" w:rsidR="007E3533" w:rsidRPr="007E3533" w:rsidRDefault="007E3533" w:rsidP="007E3533">
      <w:pPr>
        <w:pStyle w:val="ListParagraph"/>
        <w:rPr>
          <w:b/>
          <w:bCs/>
          <w:color w:val="000000" w:themeColor="text1"/>
          <w:sz w:val="20"/>
          <w:szCs w:val="20"/>
        </w:rPr>
      </w:pPr>
    </w:p>
    <w:p w14:paraId="61773CF4" w14:textId="68A838EB" w:rsidR="007E3533" w:rsidRDefault="007E3533" w:rsidP="007E3533">
      <w:pPr>
        <w:rPr>
          <w:b/>
          <w:bCs/>
          <w:lang w:val="en-US"/>
        </w:rPr>
      </w:pPr>
      <w:r w:rsidRPr="00D22C14">
        <w:rPr>
          <w:b/>
          <w:bCs/>
          <w:lang w:val="en-US"/>
        </w:rPr>
        <w:t>Proposal 5. NR RSTD reporting criteria to set E</w:t>
      </w:r>
      <w:r w:rsidRPr="00D22C14">
        <w:rPr>
          <w:b/>
          <w:bCs/>
          <w:vertAlign w:val="subscript"/>
          <w:lang w:val="en-US"/>
        </w:rPr>
        <w:t>cat</w:t>
      </w:r>
      <w:r w:rsidRPr="00D22C14">
        <w:rPr>
          <w:b/>
          <w:bCs/>
          <w:lang w:val="en-US"/>
        </w:rPr>
        <w:t xml:space="preserve"> = 1 for intra-frequency and inter-frequency RSTD measurements. Details on the minimum number of cell measurements for each and how it should be scaled with number of SCell carrier frequencies should be further discussed.</w:t>
      </w:r>
    </w:p>
    <w:p w14:paraId="48CCB11E" w14:textId="77777777" w:rsidR="0070416C" w:rsidRPr="00846EBD" w:rsidRDefault="0070416C" w:rsidP="0070416C">
      <w:pPr>
        <w:rPr>
          <w:b/>
          <w:bCs/>
          <w:lang w:val="en-US"/>
        </w:rPr>
      </w:pPr>
      <w:r w:rsidRPr="00846EBD">
        <w:rPr>
          <w:b/>
          <w:bCs/>
          <w:lang w:val="en-US"/>
        </w:rPr>
        <w:t>Observation 4. UE can measure DL PRS of a neighbor cell simultaneously with serving cell if the neighbor cell DL PRS has the same SCS of the serving cell DL PRS and is contained within the bandwidth of the serving cell DL PRS. However, the measurements of the two cells should ideally go through the same RF paths and impairments (e.g., droop) in order to fairly compare them. Otherwise, the measurement inaccuracy increases.</w:t>
      </w:r>
    </w:p>
    <w:p w14:paraId="6FB3AC8E" w14:textId="76A9752F" w:rsidR="0070416C" w:rsidRDefault="0070416C" w:rsidP="0070416C">
      <w:pPr>
        <w:rPr>
          <w:b/>
          <w:bCs/>
          <w:lang w:val="en-US"/>
        </w:rPr>
      </w:pPr>
      <w:r w:rsidRPr="00846EBD">
        <w:rPr>
          <w:b/>
          <w:bCs/>
          <w:lang w:val="en-US"/>
        </w:rPr>
        <w:t xml:space="preserve">Proposal 6. RAN4 to define intra-frequency DL PRS as when the SCS, BW, </w:t>
      </w:r>
      <w:r w:rsidR="00CF16F7">
        <w:rPr>
          <w:b/>
          <w:bCs/>
          <w:lang w:val="en-US"/>
        </w:rPr>
        <w:t xml:space="preserve">CP, </w:t>
      </w:r>
      <w:r w:rsidRPr="00846EBD">
        <w:rPr>
          <w:b/>
          <w:bCs/>
          <w:lang w:val="en-US"/>
        </w:rPr>
        <w:t xml:space="preserve">and location of neighbor DL PRS are the same as those of serving cell. Scenarios not falling under intra-frequency DL PRS are defined as inter-frequency DL PRS. </w:t>
      </w:r>
    </w:p>
    <w:p w14:paraId="189C8CA7" w14:textId="4FAE7C70" w:rsidR="0070416C" w:rsidRPr="007E3533" w:rsidRDefault="0070416C" w:rsidP="007E3533">
      <w:pPr>
        <w:rPr>
          <w:b/>
          <w:bCs/>
          <w:lang w:val="en-US"/>
        </w:rPr>
      </w:pPr>
      <w:r w:rsidRPr="0070416C">
        <w:rPr>
          <w:b/>
          <w:bCs/>
          <w:lang w:val="en-US"/>
        </w:rPr>
        <w:t xml:space="preserve">Proposal 7. UE will need measurement gaps for DL PRS if the SCS </w:t>
      </w:r>
      <w:r w:rsidR="00CF16F7">
        <w:rPr>
          <w:b/>
          <w:bCs/>
          <w:lang w:val="en-US"/>
        </w:rPr>
        <w:t xml:space="preserve">or CP </w:t>
      </w:r>
      <w:r w:rsidRPr="0070416C">
        <w:rPr>
          <w:b/>
          <w:bCs/>
          <w:lang w:val="en-US"/>
        </w:rPr>
        <w:t xml:space="preserve">of DL PRS is different from SCS </w:t>
      </w:r>
      <w:r w:rsidR="00CF16F7">
        <w:rPr>
          <w:b/>
          <w:bCs/>
          <w:lang w:val="en-US"/>
        </w:rPr>
        <w:t xml:space="preserve">or CP </w:t>
      </w:r>
      <w:r w:rsidRPr="0070416C">
        <w:rPr>
          <w:b/>
          <w:bCs/>
          <w:lang w:val="en-US"/>
        </w:rPr>
        <w:t xml:space="preserve">of the active BWP or DL PRS is not fully contained within the active BWP. </w:t>
      </w:r>
    </w:p>
    <w:p w14:paraId="7E2D9245" w14:textId="177F49AC" w:rsidR="007E3533" w:rsidRPr="00FE2176" w:rsidRDefault="007E3533" w:rsidP="007E3533">
      <w:pPr>
        <w:rPr>
          <w:b/>
          <w:bCs/>
          <w:lang w:val="en-US"/>
        </w:rPr>
      </w:pPr>
      <w:r w:rsidRPr="00FE2176">
        <w:rPr>
          <w:b/>
          <w:bCs/>
          <w:lang w:val="en-US"/>
        </w:rPr>
        <w:t xml:space="preserve">Observation </w:t>
      </w:r>
      <w:r w:rsidR="0070416C">
        <w:rPr>
          <w:b/>
          <w:bCs/>
          <w:lang w:val="en-US"/>
        </w:rPr>
        <w:t>5</w:t>
      </w:r>
      <w:r w:rsidRPr="00FE2176">
        <w:rPr>
          <w:b/>
          <w:bCs/>
          <w:lang w:val="en-US"/>
        </w:rPr>
        <w:t xml:space="preserve">. The placement of PRS slots within the measurement gap is important to minimize the interruption that UE will experience for BWP switch. The BWP switch delay requirements for periodic PRS </w:t>
      </w:r>
      <w:r>
        <w:rPr>
          <w:b/>
          <w:bCs/>
          <w:lang w:val="en-US"/>
        </w:rPr>
        <w:t>are</w:t>
      </w:r>
      <w:r w:rsidRPr="00FE2176">
        <w:rPr>
          <w:b/>
          <w:bCs/>
          <w:lang w:val="en-US"/>
        </w:rPr>
        <w:t xml:space="preserve"> similar to those in CSI-RS for mobility work item.</w:t>
      </w:r>
    </w:p>
    <w:p w14:paraId="35515428" w14:textId="5ABC9127" w:rsidR="007E3533" w:rsidRDefault="007E3533" w:rsidP="007E3533">
      <w:pPr>
        <w:rPr>
          <w:b/>
          <w:bCs/>
          <w:lang w:val="en-US"/>
        </w:rPr>
      </w:pPr>
      <w:r w:rsidRPr="00FE2176">
        <w:rPr>
          <w:b/>
          <w:bCs/>
          <w:lang w:val="en-US"/>
        </w:rPr>
        <w:t xml:space="preserve">Proposal </w:t>
      </w:r>
      <w:r w:rsidR="0070416C">
        <w:rPr>
          <w:b/>
          <w:bCs/>
          <w:lang w:val="en-US"/>
        </w:rPr>
        <w:t>8</w:t>
      </w:r>
      <w:r w:rsidRPr="00FE2176">
        <w:rPr>
          <w:b/>
          <w:bCs/>
          <w:lang w:val="en-US"/>
        </w:rPr>
        <w:t>. RAN4 to use the same BWP switch delay and interruptions as in CSI-RS for mobility for DL PRS processing with BW outside of the active DL BWP.</w:t>
      </w:r>
    </w:p>
    <w:p w14:paraId="57AD0E30" w14:textId="13213854" w:rsidR="007E3533" w:rsidRPr="00F62386" w:rsidRDefault="007E3533" w:rsidP="007E3533">
      <w:pPr>
        <w:rPr>
          <w:b/>
          <w:bCs/>
          <w:lang w:val="en-US"/>
        </w:rPr>
      </w:pPr>
      <w:r w:rsidRPr="002A1A92">
        <w:rPr>
          <w:b/>
          <w:bCs/>
          <w:lang w:val="en-US"/>
        </w:rPr>
        <w:t xml:space="preserve">Observation </w:t>
      </w:r>
      <w:r w:rsidR="0065029E">
        <w:rPr>
          <w:b/>
          <w:bCs/>
          <w:lang w:val="en-US"/>
        </w:rPr>
        <w:t>6</w:t>
      </w:r>
      <w:bookmarkStart w:id="4" w:name="_GoBack"/>
      <w:bookmarkEnd w:id="4"/>
      <w:r w:rsidRPr="002A1A92">
        <w:rPr>
          <w:b/>
          <w:bCs/>
          <w:lang w:val="en-US"/>
        </w:rPr>
        <w:t>. It is beneficial to have scheduling restrictions on PRS slots. In resolution-limited scenarios, DL PRS needs to span the entire active BWP (and maybe even beyond) anyway. In noise-limited scenarios, DL PRS can be amplified by putting all of transmit power into a smaller PRS bandwidth.</w:t>
      </w:r>
      <w:r w:rsidRPr="00F62386">
        <w:rPr>
          <w:lang w:val="en-US"/>
        </w:rPr>
        <w:t xml:space="preserve"> </w:t>
      </w:r>
      <w:r w:rsidRPr="00F62386">
        <w:rPr>
          <w:b/>
          <w:bCs/>
          <w:lang w:val="en-US"/>
        </w:rPr>
        <w:t>In FR2, UE may need to switch its Rx beam from the PDCCH/PDSCH beam to receive and process a PRS resource.</w:t>
      </w:r>
    </w:p>
    <w:p w14:paraId="64B39020" w14:textId="5BB1FDA6" w:rsidR="007E3533" w:rsidRPr="007E3533" w:rsidRDefault="007E3533" w:rsidP="00804DAC">
      <w:pPr>
        <w:rPr>
          <w:b/>
          <w:bCs/>
          <w:lang w:val="en-US"/>
        </w:rPr>
      </w:pPr>
      <w:r w:rsidRPr="002A1A92">
        <w:rPr>
          <w:b/>
          <w:bCs/>
          <w:lang w:val="en-US"/>
        </w:rPr>
        <w:t xml:space="preserve">Proposal </w:t>
      </w:r>
      <w:r w:rsidR="0070416C">
        <w:rPr>
          <w:b/>
          <w:bCs/>
          <w:lang w:val="en-US"/>
        </w:rPr>
        <w:t>9</w:t>
      </w:r>
      <w:r w:rsidRPr="002A1A92">
        <w:rPr>
          <w:b/>
          <w:bCs/>
          <w:lang w:val="en-US"/>
        </w:rPr>
        <w:t>. RAN4 to consider defining requirements for DL PRS under scheduling restrictions with no other DL channel/signal present in PRS slots.</w:t>
      </w:r>
    </w:p>
    <w:p w14:paraId="0C633F9D" w14:textId="77777777" w:rsidR="00797CE5" w:rsidRDefault="00797CE5" w:rsidP="006050F7">
      <w:pPr>
        <w:pStyle w:val="Heading1"/>
        <w:numPr>
          <w:ilvl w:val="0"/>
          <w:numId w:val="0"/>
        </w:numPr>
        <w:rPr>
          <w:lang w:val="en-US"/>
        </w:rPr>
      </w:pPr>
      <w:r>
        <w:rPr>
          <w:lang w:val="en-US"/>
        </w:rPr>
        <w:t>References</w:t>
      </w:r>
    </w:p>
    <w:p w14:paraId="7B142946" w14:textId="79089443" w:rsidR="00BF31AD" w:rsidRDefault="00556948" w:rsidP="00797CE5">
      <w:pPr>
        <w:rPr>
          <w:lang w:val="en-US"/>
        </w:rPr>
      </w:pPr>
      <w:r>
        <w:rPr>
          <w:lang w:val="en-US"/>
        </w:rPr>
        <w:t>[1] R4-1910561</w:t>
      </w:r>
    </w:p>
    <w:p w14:paraId="592CCBC5" w14:textId="1EDA5AAC" w:rsidR="009B717B" w:rsidRDefault="009B717B" w:rsidP="00797CE5">
      <w:pPr>
        <w:rPr>
          <w:lang w:val="en-US"/>
        </w:rPr>
      </w:pPr>
      <w:r>
        <w:rPr>
          <w:lang w:val="en-US"/>
        </w:rPr>
        <w:t>[2] R4-1910002</w:t>
      </w:r>
    </w:p>
    <w:sectPr w:rsidR="009B717B"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00CCF" w14:textId="77777777" w:rsidR="004D6CB8" w:rsidRDefault="004D6CB8">
      <w:r>
        <w:separator/>
      </w:r>
    </w:p>
  </w:endnote>
  <w:endnote w:type="continuationSeparator" w:id="0">
    <w:p w14:paraId="108638BC" w14:textId="77777777" w:rsidR="004D6CB8" w:rsidRDefault="004D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F4A9A" w14:textId="77777777" w:rsidR="004D6CB8" w:rsidRDefault="004D6CB8">
      <w:r>
        <w:separator/>
      </w:r>
    </w:p>
  </w:footnote>
  <w:footnote w:type="continuationSeparator" w:id="0">
    <w:p w14:paraId="00227BC0" w14:textId="77777777" w:rsidR="004D6CB8" w:rsidRDefault="004D6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511511"/>
    <w:multiLevelType w:val="hybridMultilevel"/>
    <w:tmpl w:val="D11A4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06C08"/>
    <w:multiLevelType w:val="hybridMultilevel"/>
    <w:tmpl w:val="749CE1E2"/>
    <w:lvl w:ilvl="0" w:tplc="5E4C27C2">
      <w:start w:val="1"/>
      <w:numFmt w:val="bullet"/>
      <w:lvlText w:val="•"/>
      <w:lvlJc w:val="left"/>
      <w:pPr>
        <w:tabs>
          <w:tab w:val="num" w:pos="360"/>
        </w:tabs>
        <w:ind w:left="360" w:hanging="360"/>
      </w:pPr>
      <w:rPr>
        <w:rFonts w:ascii="Arial" w:hAnsi="Arial" w:hint="default"/>
      </w:rPr>
    </w:lvl>
    <w:lvl w:ilvl="1" w:tplc="A71C91B2" w:tentative="1">
      <w:start w:val="1"/>
      <w:numFmt w:val="bullet"/>
      <w:lvlText w:val="•"/>
      <w:lvlJc w:val="left"/>
      <w:pPr>
        <w:tabs>
          <w:tab w:val="num" w:pos="1080"/>
        </w:tabs>
        <w:ind w:left="1080" w:hanging="360"/>
      </w:pPr>
      <w:rPr>
        <w:rFonts w:ascii="Arial" w:hAnsi="Arial" w:hint="default"/>
      </w:rPr>
    </w:lvl>
    <w:lvl w:ilvl="2" w:tplc="C7AC980E" w:tentative="1">
      <w:start w:val="1"/>
      <w:numFmt w:val="bullet"/>
      <w:lvlText w:val="•"/>
      <w:lvlJc w:val="left"/>
      <w:pPr>
        <w:tabs>
          <w:tab w:val="num" w:pos="1800"/>
        </w:tabs>
        <w:ind w:left="1800" w:hanging="360"/>
      </w:pPr>
      <w:rPr>
        <w:rFonts w:ascii="Arial" w:hAnsi="Arial" w:hint="default"/>
      </w:rPr>
    </w:lvl>
    <w:lvl w:ilvl="3" w:tplc="D074ABA4" w:tentative="1">
      <w:start w:val="1"/>
      <w:numFmt w:val="bullet"/>
      <w:lvlText w:val="•"/>
      <w:lvlJc w:val="left"/>
      <w:pPr>
        <w:tabs>
          <w:tab w:val="num" w:pos="2520"/>
        </w:tabs>
        <w:ind w:left="2520" w:hanging="360"/>
      </w:pPr>
      <w:rPr>
        <w:rFonts w:ascii="Arial" w:hAnsi="Arial" w:hint="default"/>
      </w:rPr>
    </w:lvl>
    <w:lvl w:ilvl="4" w:tplc="53EAB5DC" w:tentative="1">
      <w:start w:val="1"/>
      <w:numFmt w:val="bullet"/>
      <w:lvlText w:val="•"/>
      <w:lvlJc w:val="left"/>
      <w:pPr>
        <w:tabs>
          <w:tab w:val="num" w:pos="3240"/>
        </w:tabs>
        <w:ind w:left="3240" w:hanging="360"/>
      </w:pPr>
      <w:rPr>
        <w:rFonts w:ascii="Arial" w:hAnsi="Arial" w:hint="default"/>
      </w:rPr>
    </w:lvl>
    <w:lvl w:ilvl="5" w:tplc="31282E72" w:tentative="1">
      <w:start w:val="1"/>
      <w:numFmt w:val="bullet"/>
      <w:lvlText w:val="•"/>
      <w:lvlJc w:val="left"/>
      <w:pPr>
        <w:tabs>
          <w:tab w:val="num" w:pos="3960"/>
        </w:tabs>
        <w:ind w:left="3960" w:hanging="360"/>
      </w:pPr>
      <w:rPr>
        <w:rFonts w:ascii="Arial" w:hAnsi="Arial" w:hint="default"/>
      </w:rPr>
    </w:lvl>
    <w:lvl w:ilvl="6" w:tplc="35A20190" w:tentative="1">
      <w:start w:val="1"/>
      <w:numFmt w:val="bullet"/>
      <w:lvlText w:val="•"/>
      <w:lvlJc w:val="left"/>
      <w:pPr>
        <w:tabs>
          <w:tab w:val="num" w:pos="4680"/>
        </w:tabs>
        <w:ind w:left="4680" w:hanging="360"/>
      </w:pPr>
      <w:rPr>
        <w:rFonts w:ascii="Arial" w:hAnsi="Arial" w:hint="default"/>
      </w:rPr>
    </w:lvl>
    <w:lvl w:ilvl="7" w:tplc="426EE4F4" w:tentative="1">
      <w:start w:val="1"/>
      <w:numFmt w:val="bullet"/>
      <w:lvlText w:val="•"/>
      <w:lvlJc w:val="left"/>
      <w:pPr>
        <w:tabs>
          <w:tab w:val="num" w:pos="5400"/>
        </w:tabs>
        <w:ind w:left="5400" w:hanging="360"/>
      </w:pPr>
      <w:rPr>
        <w:rFonts w:ascii="Arial" w:hAnsi="Arial" w:hint="default"/>
      </w:rPr>
    </w:lvl>
    <w:lvl w:ilvl="8" w:tplc="E4DC785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3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8"/>
  </w:num>
  <w:num w:numId="9">
    <w:abstractNumId w:val="22"/>
  </w:num>
  <w:num w:numId="10">
    <w:abstractNumId w:val="4"/>
  </w:num>
  <w:num w:numId="11">
    <w:abstractNumId w:val="19"/>
  </w:num>
  <w:num w:numId="12">
    <w:abstractNumId w:val="7"/>
  </w:num>
  <w:num w:numId="13">
    <w:abstractNumId w:val="18"/>
  </w:num>
  <w:num w:numId="14">
    <w:abstractNumId w:val="2"/>
  </w:num>
  <w:num w:numId="15">
    <w:abstractNumId w:val="35"/>
  </w:num>
  <w:num w:numId="16">
    <w:abstractNumId w:val="26"/>
  </w:num>
  <w:num w:numId="17">
    <w:abstractNumId w:val="9"/>
  </w:num>
  <w:num w:numId="18">
    <w:abstractNumId w:val="34"/>
  </w:num>
  <w:num w:numId="19">
    <w:abstractNumId w:val="25"/>
  </w:num>
  <w:num w:numId="20">
    <w:abstractNumId w:val="17"/>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2"/>
  </w:num>
  <w:num w:numId="27">
    <w:abstractNumId w:val="6"/>
  </w:num>
  <w:num w:numId="28">
    <w:abstractNumId w:val="30"/>
  </w:num>
  <w:num w:numId="29">
    <w:abstractNumId w:val="20"/>
  </w:num>
  <w:num w:numId="30">
    <w:abstractNumId w:val="16"/>
  </w:num>
  <w:num w:numId="31">
    <w:abstractNumId w:val="23"/>
  </w:num>
  <w:num w:numId="32">
    <w:abstractNumId w:val="11"/>
  </w:num>
  <w:num w:numId="33">
    <w:abstractNumId w:val="3"/>
  </w:num>
  <w:num w:numId="34">
    <w:abstractNumId w:val="14"/>
  </w:num>
  <w:num w:numId="35">
    <w:abstractNumId w:val="15"/>
  </w:num>
  <w:num w:numId="36">
    <w:abstractNumId w:val="29"/>
  </w:num>
  <w:num w:numId="3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DE8"/>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DC6"/>
    <w:rsid w:val="00064EAB"/>
    <w:rsid w:val="0006521B"/>
    <w:rsid w:val="0006597F"/>
    <w:rsid w:val="00065D38"/>
    <w:rsid w:val="00065EF3"/>
    <w:rsid w:val="00065FA9"/>
    <w:rsid w:val="00065FD4"/>
    <w:rsid w:val="00066057"/>
    <w:rsid w:val="000664AB"/>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4A7D"/>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89"/>
    <w:rsid w:val="000D460D"/>
    <w:rsid w:val="000D46EE"/>
    <w:rsid w:val="000D4CE6"/>
    <w:rsid w:val="000D4E0C"/>
    <w:rsid w:val="000D4FDD"/>
    <w:rsid w:val="000D504F"/>
    <w:rsid w:val="000D5517"/>
    <w:rsid w:val="000D55E0"/>
    <w:rsid w:val="000D55E1"/>
    <w:rsid w:val="000D5E00"/>
    <w:rsid w:val="000D5F83"/>
    <w:rsid w:val="000D637A"/>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0ED6"/>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89"/>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47B"/>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185"/>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7E1"/>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704"/>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085"/>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315"/>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92"/>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58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3EF"/>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BED"/>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4FA"/>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740"/>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6C65"/>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301"/>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5F9"/>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48F"/>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975"/>
    <w:rsid w:val="004B1CA9"/>
    <w:rsid w:val="004B1F23"/>
    <w:rsid w:val="004B234C"/>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6CB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8ED"/>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AE3"/>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948"/>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AB1"/>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21"/>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31C"/>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C57"/>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0FB3"/>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29E"/>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3FAE"/>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307"/>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609"/>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25B"/>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6C"/>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0BA"/>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9BC"/>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91D"/>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533"/>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68"/>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EBD"/>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B16"/>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7AC"/>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6AC"/>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809"/>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3F08"/>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4E5"/>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17B"/>
    <w:rsid w:val="009B729F"/>
    <w:rsid w:val="009B72D2"/>
    <w:rsid w:val="009B73DC"/>
    <w:rsid w:val="009B7794"/>
    <w:rsid w:val="009B7D43"/>
    <w:rsid w:val="009C00C0"/>
    <w:rsid w:val="009C00D9"/>
    <w:rsid w:val="009C04FC"/>
    <w:rsid w:val="009C0981"/>
    <w:rsid w:val="009C09BC"/>
    <w:rsid w:val="009C1668"/>
    <w:rsid w:val="009C1886"/>
    <w:rsid w:val="009C18C7"/>
    <w:rsid w:val="009C1C2C"/>
    <w:rsid w:val="009C1FE0"/>
    <w:rsid w:val="009C24E5"/>
    <w:rsid w:val="009C2720"/>
    <w:rsid w:val="009C2D78"/>
    <w:rsid w:val="009C31BA"/>
    <w:rsid w:val="009C31C0"/>
    <w:rsid w:val="009C3935"/>
    <w:rsid w:val="009C3E74"/>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ACE"/>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85B"/>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20A"/>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73C"/>
    <w:rsid w:val="00BE08F8"/>
    <w:rsid w:val="00BE0A3A"/>
    <w:rsid w:val="00BE0A6D"/>
    <w:rsid w:val="00BE105F"/>
    <w:rsid w:val="00BE10B7"/>
    <w:rsid w:val="00BE139C"/>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7DB"/>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D07"/>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37E"/>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6F7"/>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574"/>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2C14"/>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155"/>
    <w:rsid w:val="00D97259"/>
    <w:rsid w:val="00D97420"/>
    <w:rsid w:val="00D975E8"/>
    <w:rsid w:val="00D9781E"/>
    <w:rsid w:val="00D97B1F"/>
    <w:rsid w:val="00D97E0E"/>
    <w:rsid w:val="00D97F59"/>
    <w:rsid w:val="00DA0D46"/>
    <w:rsid w:val="00DA0EF4"/>
    <w:rsid w:val="00DA13C6"/>
    <w:rsid w:val="00DA21F4"/>
    <w:rsid w:val="00DA2346"/>
    <w:rsid w:val="00DA26BF"/>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577"/>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1F"/>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D7B"/>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86"/>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21"/>
    <w:rsid w:val="00FB5550"/>
    <w:rsid w:val="00FB558B"/>
    <w:rsid w:val="00FB57B3"/>
    <w:rsid w:val="00FB64E1"/>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7D"/>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176"/>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normaltextrun">
    <w:name w:val="normaltextrun"/>
    <w:basedOn w:val="DefaultParagraphFont"/>
    <w:rsid w:val="00EF7D7B"/>
  </w:style>
  <w:style w:type="character" w:customStyle="1" w:styleId="spellingerror">
    <w:name w:val="spellingerror"/>
    <w:basedOn w:val="DefaultParagraphFont"/>
    <w:rsid w:val="00EF7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37419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3969164">
      <w:bodyDiv w:val="1"/>
      <w:marLeft w:val="0"/>
      <w:marRight w:val="0"/>
      <w:marTop w:val="0"/>
      <w:marBottom w:val="0"/>
      <w:divBdr>
        <w:top w:val="none" w:sz="0" w:space="0" w:color="auto"/>
        <w:left w:val="none" w:sz="0" w:space="0" w:color="auto"/>
        <w:bottom w:val="none" w:sz="0" w:space="0" w:color="auto"/>
        <w:right w:val="none" w:sz="0" w:space="0" w:color="auto"/>
      </w:divBdr>
      <w:divsChild>
        <w:div w:id="600916843">
          <w:marLeft w:val="216"/>
          <w:marRight w:val="0"/>
          <w:marTop w:val="240"/>
          <w:marBottom w:val="0"/>
          <w:divBdr>
            <w:top w:val="none" w:sz="0" w:space="0" w:color="auto"/>
            <w:left w:val="none" w:sz="0" w:space="0" w:color="auto"/>
            <w:bottom w:val="none" w:sz="0" w:space="0" w:color="auto"/>
            <w:right w:val="none" w:sz="0" w:space="0" w:color="auto"/>
          </w:divBdr>
        </w:div>
        <w:div w:id="293677271">
          <w:marLeft w:val="216"/>
          <w:marRight w:val="0"/>
          <w:marTop w:val="24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0C5CF-6847-40AD-BF92-26AB2ECA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2237</TotalTime>
  <Pages>6</Pages>
  <Words>3334</Words>
  <Characters>19006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45</cp:revision>
  <cp:lastPrinted>2009-04-22T21:01:00Z</cp:lastPrinted>
  <dcterms:created xsi:type="dcterms:W3CDTF">2019-09-25T21:06:00Z</dcterms:created>
  <dcterms:modified xsi:type="dcterms:W3CDTF">2019-10-04T21:09:00Z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